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1818DB92" w14:textId="77777777" w:rsidR="00FB107C" w:rsidRDefault="00FB107C" w:rsidP="00EE118B"/>
    <w:p w14:paraId="469E454D" w14:textId="77777777" w:rsidR="00FB107C" w:rsidRDefault="00FB107C" w:rsidP="00EE118B"/>
    <w:p w14:paraId="563B5A00" w14:textId="6FAA2AC3" w:rsidR="004F3255" w:rsidRPr="00366912" w:rsidRDefault="004534F0" w:rsidP="004534F0">
      <w:pPr>
        <w:pStyle w:val="Titlelinkedtofooter"/>
        <w:spacing w:before="120" w:after="240"/>
        <w:rPr>
          <w:color w:val="auto"/>
        </w:rPr>
      </w:pPr>
      <w:r w:rsidRPr="00366912">
        <w:rPr>
          <w:color w:val="auto"/>
        </w:rPr>
        <w:t>Repairs and Maintenance</w:t>
      </w:r>
      <w:r w:rsidR="00E375DD" w:rsidRPr="00366912">
        <w:rPr>
          <w:color w:val="auto"/>
        </w:rPr>
        <w:t>.</w:t>
      </w:r>
      <w:r w:rsidR="00557936" w:rsidRPr="00366912">
        <w:rPr>
          <w:color w:val="auto"/>
        </w:rPr>
        <w:t xml:space="preserve"> </w:t>
      </w:r>
    </w:p>
    <w:p w14:paraId="178599A5" w14:textId="77777777" w:rsidR="004534F0" w:rsidRDefault="004534F0" w:rsidP="004534F0">
      <w:pPr>
        <w:rPr>
          <w:b/>
          <w:bCs/>
          <w:color w:val="74A7A4" w:themeColor="text2"/>
          <w:sz w:val="24"/>
        </w:rPr>
      </w:pPr>
      <w:r w:rsidRPr="004534F0">
        <w:rPr>
          <w:b/>
          <w:bCs/>
          <w:color w:val="74A7A4" w:themeColor="text2"/>
          <w:sz w:val="24"/>
        </w:rPr>
        <w:t xml:space="preserve">Churches of Christ Housing Services, as a landlord, has certain responsibilities to maintain your home. These are outlined in your tenancy agreement. </w:t>
      </w:r>
    </w:p>
    <w:p w14:paraId="715A28B6" w14:textId="77777777" w:rsidR="004534F0" w:rsidRDefault="004534F0" w:rsidP="004534F0">
      <w:r>
        <w:t xml:space="preserve">As a tenant, you also have responsibilities for maintaining your home and ensuring repairs are promptly reported. </w:t>
      </w:r>
    </w:p>
    <w:p w14:paraId="5EF8A5FE" w14:textId="2AD8D06B" w:rsidR="004534F0" w:rsidRDefault="004534F0" w:rsidP="004534F0">
      <w:r>
        <w:t>More information about maintenance obligations and tips on caring for your home are provided in your Tenant Handbook.</w:t>
      </w:r>
    </w:p>
    <w:p w14:paraId="1B07A84B" w14:textId="77777777" w:rsidR="004534F0" w:rsidRPr="004534F0" w:rsidRDefault="004534F0" w:rsidP="004534F0">
      <w:pPr>
        <w:rPr>
          <w:b/>
          <w:sz w:val="24"/>
        </w:rPr>
      </w:pPr>
      <w:r w:rsidRPr="004534F0">
        <w:rPr>
          <w:b/>
          <w:sz w:val="24"/>
        </w:rPr>
        <w:t>How do I report a routine repair?</w:t>
      </w:r>
    </w:p>
    <w:p w14:paraId="77B7B515" w14:textId="77777777" w:rsidR="004534F0" w:rsidRDefault="004534F0" w:rsidP="004534F0">
      <w:r>
        <w:t>Reporting a routine repair is simple and can be done a number of ways. To report a repair, you can:</w:t>
      </w:r>
    </w:p>
    <w:p w14:paraId="336CFDB7" w14:textId="77777777" w:rsidR="004534F0" w:rsidRPr="004534F0" w:rsidRDefault="004534F0" w:rsidP="004534F0">
      <w:pPr>
        <w:pStyle w:val="ListParagraph"/>
        <w:numPr>
          <w:ilvl w:val="0"/>
          <w:numId w:val="22"/>
        </w:numPr>
        <w:rPr>
          <w:b/>
          <w:bCs/>
          <w:color w:val="74A7A4" w:themeColor="text2"/>
          <w:sz w:val="24"/>
        </w:rPr>
      </w:pPr>
      <w:r>
        <w:t>Complete a maintenance request form and lodge it at one of our offices;</w:t>
      </w:r>
    </w:p>
    <w:p w14:paraId="2C72DCA0" w14:textId="77777777" w:rsidR="00686E2A" w:rsidRPr="00686E2A" w:rsidRDefault="00686E2A" w:rsidP="004534F0">
      <w:pPr>
        <w:pStyle w:val="ListParagraph"/>
        <w:numPr>
          <w:ilvl w:val="0"/>
          <w:numId w:val="22"/>
        </w:numPr>
        <w:rPr>
          <w:b/>
          <w:bCs/>
          <w:color w:val="74A7A4" w:themeColor="text2"/>
          <w:sz w:val="24"/>
        </w:rPr>
      </w:pPr>
      <w:r>
        <w:t>Leave a completed maintenance request form on your kitchen bench for us to collect at your next property inspection;</w:t>
      </w:r>
    </w:p>
    <w:p w14:paraId="0AC696A9" w14:textId="77777777" w:rsidR="00686E2A" w:rsidRPr="00686E2A" w:rsidRDefault="00686E2A" w:rsidP="004534F0">
      <w:pPr>
        <w:pStyle w:val="ListParagraph"/>
        <w:numPr>
          <w:ilvl w:val="0"/>
          <w:numId w:val="22"/>
        </w:numPr>
        <w:rPr>
          <w:b/>
          <w:bCs/>
          <w:color w:val="74A7A4" w:themeColor="text2"/>
          <w:sz w:val="24"/>
        </w:rPr>
      </w:pPr>
      <w:r>
        <w:t>Send a request online via our website or send us an email;</w:t>
      </w:r>
    </w:p>
    <w:p w14:paraId="2F1E0C2D" w14:textId="77777777" w:rsidR="00686E2A" w:rsidRPr="00686E2A" w:rsidRDefault="00686E2A" w:rsidP="004534F0">
      <w:pPr>
        <w:pStyle w:val="ListParagraph"/>
        <w:numPr>
          <w:ilvl w:val="0"/>
          <w:numId w:val="22"/>
        </w:numPr>
        <w:rPr>
          <w:b/>
          <w:bCs/>
          <w:color w:val="74A7A4" w:themeColor="text2"/>
          <w:sz w:val="24"/>
        </w:rPr>
      </w:pPr>
      <w:r>
        <w:t>Contact us by phone during business hours.</w:t>
      </w:r>
    </w:p>
    <w:p w14:paraId="40D6EBEC" w14:textId="328478CB" w:rsidR="00686E2A" w:rsidRDefault="00686E2A" w:rsidP="00686E2A">
      <w:r>
        <w:t xml:space="preserve">Maintenance </w:t>
      </w:r>
      <w:r w:rsidRPr="00686E2A">
        <w:t>request forms are provided in your Tenant Start-up Pack and additional copies can be collected from any of our offices. We will also send you a form when we notify you of an upcoming inspection.</w:t>
      </w:r>
    </w:p>
    <w:p w14:paraId="05B61BBB" w14:textId="77777777" w:rsidR="00366912" w:rsidRPr="00366912" w:rsidRDefault="00686E2A" w:rsidP="00686E2A">
      <w:pPr>
        <w:rPr>
          <w:b/>
          <w:sz w:val="24"/>
        </w:rPr>
      </w:pPr>
      <w:r w:rsidRPr="00366912">
        <w:rPr>
          <w:b/>
          <w:sz w:val="24"/>
        </w:rPr>
        <w:t>How do I report an emergency or urgent repair</w:t>
      </w:r>
      <w:r w:rsidR="00366912" w:rsidRPr="00366912">
        <w:rPr>
          <w:b/>
          <w:sz w:val="24"/>
        </w:rPr>
        <w:t>?</w:t>
      </w:r>
    </w:p>
    <w:p w14:paraId="53D329E7" w14:textId="77777777" w:rsidR="00366912" w:rsidRDefault="00366912" w:rsidP="00366912">
      <w:r>
        <w:t>All emergencies involving fire, natural disaster, injury or threats to safety, should be immediately reported to the applicable emergency service such as the Police or State Emergency Service (SES). Contact us by phone immediately after alerting the emergency services.</w:t>
      </w:r>
    </w:p>
    <w:p w14:paraId="5ED12A7E" w14:textId="6646B6A4" w:rsidR="00366912" w:rsidRDefault="00366912" w:rsidP="00366912">
      <w:r>
        <w:t>Emergency repairs are required when a property has been seriously damaged or affected by an event and poses a serious risk to persons’ safety. An urgent repair may also be required when there is a loss of an essential service such as power or water. See the examples by repair category on page two.</w:t>
      </w:r>
    </w:p>
    <w:p w14:paraId="7912A6B6" w14:textId="77777777" w:rsidR="00366912" w:rsidRPr="00366912" w:rsidRDefault="00366912" w:rsidP="00686E2A">
      <w:pPr>
        <w:rPr>
          <w:b/>
          <w:sz w:val="24"/>
        </w:rPr>
      </w:pPr>
      <w:r w:rsidRPr="00366912">
        <w:rPr>
          <w:b/>
          <w:sz w:val="24"/>
        </w:rPr>
        <w:t>What if there is an emergency after office hours or on the weekend?</w:t>
      </w:r>
    </w:p>
    <w:p w14:paraId="438438AE" w14:textId="7C0EA329" w:rsidR="00366912" w:rsidRDefault="00366912" w:rsidP="00686E2A">
      <w:r w:rsidRPr="00366912">
        <w:t xml:space="preserve">If there is an emergency, or you require an </w:t>
      </w:r>
      <w:r w:rsidRPr="00366912">
        <w:rPr>
          <w:u w:val="single"/>
        </w:rPr>
        <w:t>urgent</w:t>
      </w:r>
      <w:r w:rsidRPr="00366912">
        <w:t xml:space="preserve"> repair after office hours, please contact our after-hours 1800 number </w:t>
      </w:r>
      <w:r>
        <w:t xml:space="preserve">below </w:t>
      </w:r>
      <w:r w:rsidRPr="00366912">
        <w:t>for assistance after you have alerted the applicable emergency service where required. If your call is not answered immediately, we will aim to call you back in 30 minutes. Matters that are not urgent should be reported the next business day.</w:t>
      </w:r>
    </w:p>
    <w:p w14:paraId="1E2FDFFB" w14:textId="6AC5E3CD" w:rsidR="00F3014C" w:rsidRPr="00F3014C" w:rsidRDefault="00F3014C" w:rsidP="00686E2A">
      <w:pPr>
        <w:rPr>
          <w:b/>
          <w:color w:val="417373" w:themeColor="text1"/>
          <w:sz w:val="22"/>
        </w:rPr>
      </w:pPr>
      <w:r w:rsidRPr="00F3014C">
        <w:rPr>
          <w:b/>
          <w:color w:val="417373" w:themeColor="text1"/>
          <w:sz w:val="22"/>
        </w:rPr>
        <w:t>Office hours – Monday to Friday 9:00am to 4.00pm</w:t>
      </w:r>
    </w:p>
    <w:p w14:paraId="58964B29" w14:textId="749BF5C1" w:rsidR="00366912" w:rsidRPr="008673A1" w:rsidRDefault="00366912" w:rsidP="00686E2A">
      <w:pPr>
        <w:rPr>
          <w:b/>
          <w:color w:val="417373" w:themeColor="text1"/>
          <w:sz w:val="22"/>
        </w:rPr>
      </w:pPr>
      <w:r w:rsidRPr="008673A1">
        <w:rPr>
          <w:b/>
          <w:color w:val="417373" w:themeColor="text1"/>
          <w:sz w:val="22"/>
        </w:rPr>
        <w:t>After-hours service phone – 1800 446 604</w:t>
      </w:r>
    </w:p>
    <w:p w14:paraId="03E84BE6" w14:textId="77777777" w:rsidR="008673A1" w:rsidRPr="008673A1" w:rsidRDefault="008673A1" w:rsidP="00686E2A">
      <w:pPr>
        <w:rPr>
          <w:b/>
          <w:sz w:val="24"/>
        </w:rPr>
      </w:pPr>
      <w:r w:rsidRPr="008673A1">
        <w:rPr>
          <w:b/>
          <w:sz w:val="24"/>
        </w:rPr>
        <w:t>When will someone attend to my repair request?</w:t>
      </w:r>
    </w:p>
    <w:p w14:paraId="6ABB17CD" w14:textId="2AB6CE8B" w:rsidR="008673A1" w:rsidRDefault="008673A1" w:rsidP="00686E2A">
      <w:r w:rsidRPr="008673A1">
        <w:t xml:space="preserve">We will respond to maintenance requests in order of urgency from when you report the problem. The </w:t>
      </w:r>
      <w:r>
        <w:t>table on the next page provides</w:t>
      </w:r>
      <w:r w:rsidRPr="008673A1">
        <w:t xml:space="preserve"> examples of typical repair priorities and target response times</w:t>
      </w:r>
      <w:r w:rsidR="00F3014C">
        <w:t>.</w:t>
      </w:r>
    </w:p>
    <w:p w14:paraId="3693D406" w14:textId="6EF847E0" w:rsidR="00D2710E" w:rsidRDefault="00D2710E" w:rsidP="00EE118B"/>
    <w:p w14:paraId="45EA50F7" w14:textId="5E00B764" w:rsidR="008673A1" w:rsidRDefault="008673A1" w:rsidP="00EE118B"/>
    <w:p w14:paraId="5C8864A6" w14:textId="77777777" w:rsidR="008673A1" w:rsidRPr="00E375DD" w:rsidRDefault="008673A1" w:rsidP="00EE118B"/>
    <w:tbl>
      <w:tblPr>
        <w:tblStyle w:val="TableGrid"/>
        <w:tblW w:w="10343" w:type="dxa"/>
        <w:tblLook w:val="04A0" w:firstRow="1" w:lastRow="0" w:firstColumn="1" w:lastColumn="0" w:noHBand="0" w:noVBand="1"/>
      </w:tblPr>
      <w:tblGrid>
        <w:gridCol w:w="5173"/>
        <w:gridCol w:w="5170"/>
      </w:tblGrid>
      <w:tr w:rsidR="00F3014C" w14:paraId="5F392F3C" w14:textId="66FFEEDD" w:rsidTr="00F3014C">
        <w:trPr>
          <w:trHeight w:val="366"/>
        </w:trPr>
        <w:tc>
          <w:tcPr>
            <w:tcW w:w="5173" w:type="dxa"/>
            <w:shd w:val="clear" w:color="auto" w:fill="ABCAC8" w:themeFill="text2" w:themeFillTint="99"/>
            <w:vAlign w:val="center"/>
          </w:tcPr>
          <w:p w14:paraId="3B4EF5D1" w14:textId="3AED77AA" w:rsidR="00F3014C" w:rsidRPr="00655AE3" w:rsidRDefault="00F3014C" w:rsidP="00E375DD">
            <w:pPr>
              <w:pStyle w:val="Tableheader"/>
            </w:pPr>
            <w:r>
              <w:t>Repair Category</w:t>
            </w:r>
          </w:p>
        </w:tc>
        <w:tc>
          <w:tcPr>
            <w:tcW w:w="5170" w:type="dxa"/>
            <w:shd w:val="clear" w:color="auto" w:fill="ABCAC8" w:themeFill="text2" w:themeFillTint="99"/>
            <w:vAlign w:val="center"/>
          </w:tcPr>
          <w:p w14:paraId="037B6FED" w14:textId="64879FE8" w:rsidR="00F3014C" w:rsidRPr="00655AE3" w:rsidRDefault="00F3014C" w:rsidP="00F3014C">
            <w:pPr>
              <w:pStyle w:val="Tableheader"/>
            </w:pPr>
            <w:r>
              <w:t>Examples</w:t>
            </w:r>
          </w:p>
        </w:tc>
      </w:tr>
      <w:tr w:rsidR="006B24DA" w:rsidRPr="001B4DF5" w14:paraId="0890F660" w14:textId="77777777" w:rsidTr="002E3C20">
        <w:trPr>
          <w:trHeight w:val="366"/>
        </w:trPr>
        <w:tc>
          <w:tcPr>
            <w:tcW w:w="5173" w:type="dxa"/>
            <w:shd w:val="clear" w:color="auto" w:fill="auto"/>
            <w:vAlign w:val="center"/>
          </w:tcPr>
          <w:p w14:paraId="393925EF" w14:textId="77777777" w:rsidR="006B24DA" w:rsidRPr="00D94290" w:rsidRDefault="006B24DA" w:rsidP="00EE118B">
            <w:pPr>
              <w:pStyle w:val="TableText"/>
              <w:rPr>
                <w:b/>
                <w:color w:val="417373" w:themeColor="text1"/>
              </w:rPr>
            </w:pPr>
            <w:r w:rsidRPr="00D94290">
              <w:rPr>
                <w:b/>
                <w:color w:val="417373" w:themeColor="text1"/>
              </w:rPr>
              <w:t>Emergency</w:t>
            </w:r>
          </w:p>
          <w:p w14:paraId="60711D16" w14:textId="77777777" w:rsidR="006B24DA" w:rsidRPr="00D94290" w:rsidRDefault="006B24DA" w:rsidP="00EE118B">
            <w:pPr>
              <w:pStyle w:val="TableText"/>
              <w:rPr>
                <w:b/>
              </w:rPr>
            </w:pPr>
            <w:r w:rsidRPr="00D94290">
              <w:rPr>
                <w:b/>
              </w:rPr>
              <w:t>1 hour response</w:t>
            </w:r>
          </w:p>
          <w:p w14:paraId="41150D28" w14:textId="19C789C7" w:rsidR="006B24DA" w:rsidRPr="00FF0FAC" w:rsidRDefault="006B24DA" w:rsidP="00EE118B">
            <w:pPr>
              <w:pStyle w:val="TableText"/>
            </w:pPr>
            <w:r>
              <w:t>A fault or damage that could lead to death or injury of persons, or serious damage to the property.</w:t>
            </w:r>
          </w:p>
        </w:tc>
        <w:tc>
          <w:tcPr>
            <w:tcW w:w="5170" w:type="dxa"/>
            <w:shd w:val="clear" w:color="auto" w:fill="auto"/>
            <w:vAlign w:val="center"/>
          </w:tcPr>
          <w:p w14:paraId="4CE2E983" w14:textId="77777777" w:rsidR="006B24DA" w:rsidRPr="009261B7" w:rsidRDefault="006B24DA" w:rsidP="008B1F9F">
            <w:pPr>
              <w:pStyle w:val="Tablebullet"/>
              <w:spacing w:before="60"/>
              <w:ind w:left="187"/>
            </w:pPr>
            <w:r w:rsidRPr="009261B7">
              <w:t>Fire.</w:t>
            </w:r>
          </w:p>
          <w:p w14:paraId="38252453" w14:textId="77777777" w:rsidR="006B24DA" w:rsidRPr="009261B7" w:rsidRDefault="006B24DA" w:rsidP="006B24DA">
            <w:pPr>
              <w:pStyle w:val="Tablebullet"/>
            </w:pPr>
            <w:r w:rsidRPr="009261B7">
              <w:t>Gas leaks.</w:t>
            </w:r>
          </w:p>
          <w:p w14:paraId="03EF66E9" w14:textId="77777777" w:rsidR="006B24DA" w:rsidRPr="009261B7" w:rsidRDefault="006B24DA" w:rsidP="006B24DA">
            <w:pPr>
              <w:pStyle w:val="Tablebullet"/>
            </w:pPr>
            <w:r w:rsidRPr="009261B7">
              <w:t>Exposed live electrical wires.</w:t>
            </w:r>
          </w:p>
          <w:p w14:paraId="7E67184A" w14:textId="60DD6EAA" w:rsidR="006B24DA" w:rsidRPr="009261B7" w:rsidRDefault="006B24DA" w:rsidP="006B24DA">
            <w:pPr>
              <w:pStyle w:val="Tablebullet"/>
            </w:pPr>
            <w:r w:rsidRPr="009261B7">
              <w:t>Burst pipes within the building.</w:t>
            </w:r>
          </w:p>
          <w:p w14:paraId="144079E5" w14:textId="541BC9B0" w:rsidR="006B24DA" w:rsidRPr="00FF0FAC" w:rsidRDefault="006B24DA" w:rsidP="008B1F9F">
            <w:pPr>
              <w:pStyle w:val="TableText"/>
              <w:spacing w:before="240" w:after="60"/>
            </w:pPr>
            <w:r w:rsidRPr="009261B7">
              <w:t>The contractor’s primary objective when responding to an emergency repair is to make the situation safe and to specify works required for rectification.</w:t>
            </w:r>
          </w:p>
        </w:tc>
      </w:tr>
      <w:tr w:rsidR="00AB4CDA" w14:paraId="6E932C81" w14:textId="77777777" w:rsidTr="005937A5">
        <w:trPr>
          <w:trHeight w:val="366"/>
        </w:trPr>
        <w:tc>
          <w:tcPr>
            <w:tcW w:w="5173" w:type="dxa"/>
            <w:vAlign w:val="center"/>
          </w:tcPr>
          <w:p w14:paraId="5E8BD4EF" w14:textId="77777777" w:rsidR="00AB4CDA" w:rsidRPr="00D94290" w:rsidRDefault="00AB4CDA" w:rsidP="00EE118B">
            <w:pPr>
              <w:pStyle w:val="TableText"/>
              <w:rPr>
                <w:b/>
                <w:color w:val="417373" w:themeColor="text1"/>
              </w:rPr>
            </w:pPr>
            <w:r w:rsidRPr="00D94290">
              <w:rPr>
                <w:b/>
                <w:color w:val="417373" w:themeColor="text1"/>
              </w:rPr>
              <w:t>Urgent</w:t>
            </w:r>
          </w:p>
          <w:p w14:paraId="42C3CB08" w14:textId="77777777" w:rsidR="00AB4CDA" w:rsidRPr="00D94290" w:rsidRDefault="00AB4CDA" w:rsidP="00EE118B">
            <w:pPr>
              <w:pStyle w:val="TableText"/>
              <w:rPr>
                <w:b/>
              </w:rPr>
            </w:pPr>
            <w:r w:rsidRPr="00D94290">
              <w:rPr>
                <w:b/>
              </w:rPr>
              <w:t>4 hour response</w:t>
            </w:r>
          </w:p>
          <w:p w14:paraId="41769FF2" w14:textId="3D86CCDD" w:rsidR="00AB4CDA" w:rsidRPr="00D94290" w:rsidRDefault="00AB4CDA" w:rsidP="00EE118B">
            <w:pPr>
              <w:pStyle w:val="TableText"/>
              <w:rPr>
                <w:i/>
              </w:rPr>
            </w:pPr>
            <w:r w:rsidRPr="00D94290">
              <w:rPr>
                <w:i/>
              </w:rPr>
              <w:t>A fault or damage that endangers health and safety or could result in extensive damage to the property.</w:t>
            </w:r>
          </w:p>
        </w:tc>
        <w:tc>
          <w:tcPr>
            <w:tcW w:w="5170" w:type="dxa"/>
            <w:vAlign w:val="center"/>
          </w:tcPr>
          <w:p w14:paraId="61E62E2D" w14:textId="77777777" w:rsidR="00AB4CDA" w:rsidRPr="009261B7" w:rsidRDefault="00AB4CDA" w:rsidP="008B1F9F">
            <w:pPr>
              <w:pStyle w:val="Tablebullet"/>
              <w:spacing w:before="60"/>
              <w:ind w:left="187"/>
            </w:pPr>
            <w:r w:rsidRPr="009261B7">
              <w:t>Building is unsecure.</w:t>
            </w:r>
          </w:p>
          <w:p w14:paraId="568667D0" w14:textId="77777777" w:rsidR="00AB4CDA" w:rsidRPr="009261B7" w:rsidRDefault="00AB4CDA" w:rsidP="00AB4CDA">
            <w:pPr>
              <w:pStyle w:val="Tablebullet"/>
            </w:pPr>
            <w:r>
              <w:t>L</w:t>
            </w:r>
            <w:r w:rsidRPr="009261B7">
              <w:t xml:space="preserve">ighting or power outage </w:t>
            </w:r>
          </w:p>
          <w:p w14:paraId="7D496CE0" w14:textId="77777777" w:rsidR="00AB4CDA" w:rsidRPr="009261B7" w:rsidRDefault="00AB4CDA" w:rsidP="00AB4CDA">
            <w:pPr>
              <w:pStyle w:val="Tablebullet"/>
            </w:pPr>
            <w:r w:rsidRPr="009261B7">
              <w:t>Serious water penetration.</w:t>
            </w:r>
          </w:p>
          <w:p w14:paraId="04E2D72C" w14:textId="77777777" w:rsidR="00AB4CDA" w:rsidRPr="009261B7" w:rsidRDefault="00AB4CDA" w:rsidP="00AB4CDA">
            <w:pPr>
              <w:pStyle w:val="Tablebullet"/>
            </w:pPr>
            <w:r w:rsidRPr="009261B7">
              <w:t>Serious storm damage.</w:t>
            </w:r>
          </w:p>
          <w:p w14:paraId="0D6567F6" w14:textId="77777777" w:rsidR="00AB4CDA" w:rsidRPr="009261B7" w:rsidRDefault="00AB4CDA" w:rsidP="00AB4CDA">
            <w:pPr>
              <w:pStyle w:val="Tablebullet"/>
            </w:pPr>
            <w:r w:rsidRPr="009261B7">
              <w:t>Burst water pipes outside the building.</w:t>
            </w:r>
          </w:p>
          <w:p w14:paraId="06520BF5" w14:textId="77777777" w:rsidR="00AB4CDA" w:rsidRPr="009261B7" w:rsidRDefault="00AB4CDA" w:rsidP="00AB4CDA">
            <w:pPr>
              <w:pStyle w:val="Tablebullet"/>
            </w:pPr>
            <w:r w:rsidRPr="009261B7">
              <w:t>Fully blocked sewerage (health hazard).</w:t>
            </w:r>
          </w:p>
          <w:p w14:paraId="23F87516" w14:textId="77777777" w:rsidR="00AB4CDA" w:rsidRDefault="00AB4CDA" w:rsidP="00AB4CDA">
            <w:pPr>
              <w:pStyle w:val="Tablebullet"/>
            </w:pPr>
            <w:r w:rsidRPr="009261B7">
              <w:t>Structural damage endangering the occupants.</w:t>
            </w:r>
          </w:p>
          <w:p w14:paraId="625EEC11" w14:textId="59441578" w:rsidR="00AB4CDA" w:rsidRPr="00203BAE" w:rsidRDefault="00AB4CDA" w:rsidP="008B1F9F">
            <w:pPr>
              <w:pStyle w:val="Tablebullet"/>
              <w:spacing w:after="60"/>
              <w:ind w:left="187"/>
            </w:pPr>
            <w:r w:rsidRPr="009261B7">
              <w:t>Seniors or vulnerable tenants being locked out of their home.</w:t>
            </w:r>
          </w:p>
        </w:tc>
      </w:tr>
      <w:tr w:rsidR="00AB4CDA" w14:paraId="09CA9A18" w14:textId="77777777" w:rsidTr="009B06EF">
        <w:trPr>
          <w:trHeight w:val="366"/>
        </w:trPr>
        <w:tc>
          <w:tcPr>
            <w:tcW w:w="5173" w:type="dxa"/>
            <w:vAlign w:val="center"/>
          </w:tcPr>
          <w:p w14:paraId="69270C56" w14:textId="77777777" w:rsidR="00AB4CDA" w:rsidRPr="0015607B" w:rsidRDefault="00AB4CDA" w:rsidP="00EE118B">
            <w:pPr>
              <w:pStyle w:val="TableText"/>
              <w:rPr>
                <w:b/>
                <w:color w:val="417373" w:themeColor="text1"/>
              </w:rPr>
            </w:pPr>
            <w:r w:rsidRPr="0015607B">
              <w:rPr>
                <w:b/>
                <w:color w:val="417373" w:themeColor="text1"/>
              </w:rPr>
              <w:t>Priority repairs</w:t>
            </w:r>
          </w:p>
          <w:p w14:paraId="3AEB022F" w14:textId="77777777" w:rsidR="00AB4CDA" w:rsidRPr="0015607B" w:rsidRDefault="00AB4CDA" w:rsidP="00EE118B">
            <w:pPr>
              <w:pStyle w:val="TableText"/>
              <w:rPr>
                <w:b/>
              </w:rPr>
            </w:pPr>
            <w:r w:rsidRPr="0015607B">
              <w:rPr>
                <w:b/>
              </w:rPr>
              <w:t>24 hour response</w:t>
            </w:r>
          </w:p>
          <w:p w14:paraId="0AF51EDC" w14:textId="5C0A77C4" w:rsidR="00AB4CDA" w:rsidRPr="0015607B" w:rsidRDefault="00AB4CDA" w:rsidP="00EE118B">
            <w:pPr>
              <w:pStyle w:val="TableText"/>
              <w:rPr>
                <w:i/>
              </w:rPr>
            </w:pPr>
            <w:r w:rsidRPr="0015607B">
              <w:rPr>
                <w:i/>
              </w:rPr>
              <w:t>A fault or damage that causes serious inconvenience to the tenant.</w:t>
            </w:r>
          </w:p>
        </w:tc>
        <w:tc>
          <w:tcPr>
            <w:tcW w:w="5170" w:type="dxa"/>
            <w:vAlign w:val="center"/>
          </w:tcPr>
          <w:p w14:paraId="4EE40770" w14:textId="77777777" w:rsidR="00890BFB" w:rsidRPr="005D6A4F" w:rsidRDefault="00890BFB" w:rsidP="008B1F9F">
            <w:pPr>
              <w:pStyle w:val="Tablebullet"/>
              <w:spacing w:before="60"/>
              <w:ind w:left="187"/>
            </w:pPr>
            <w:r w:rsidRPr="005D6A4F">
              <w:t>Partially blocked drains (minor, no health hazard).</w:t>
            </w:r>
          </w:p>
          <w:p w14:paraId="1CFE2A62" w14:textId="77777777" w:rsidR="00890BFB" w:rsidRPr="005D6A4F" w:rsidRDefault="00890BFB" w:rsidP="00890BFB">
            <w:pPr>
              <w:pStyle w:val="Tablebullet"/>
            </w:pPr>
            <w:r w:rsidRPr="005D6A4F">
              <w:t>Toilet cistern not working or overflowing.</w:t>
            </w:r>
          </w:p>
          <w:p w14:paraId="5DACAB25" w14:textId="1FF9B42C" w:rsidR="00890BFB" w:rsidRPr="005D6A4F" w:rsidRDefault="00890BFB" w:rsidP="00890BFB">
            <w:pPr>
              <w:pStyle w:val="Tablebullet"/>
            </w:pPr>
            <w:r>
              <w:t>Broken</w:t>
            </w:r>
            <w:r w:rsidRPr="005D6A4F">
              <w:t xml:space="preserve"> windows.</w:t>
            </w:r>
          </w:p>
          <w:p w14:paraId="442E9776" w14:textId="77777777" w:rsidR="00890BFB" w:rsidRPr="005D6A4F" w:rsidRDefault="00890BFB" w:rsidP="00890BFB">
            <w:pPr>
              <w:pStyle w:val="Tablebullet"/>
            </w:pPr>
            <w:r w:rsidRPr="005D6A4F">
              <w:t>Unsecured yard (fence damage greater than 125 mm wide).</w:t>
            </w:r>
          </w:p>
          <w:p w14:paraId="4A756EB8" w14:textId="77777777" w:rsidR="00890BFB" w:rsidRPr="005D6A4F" w:rsidRDefault="00890BFB" w:rsidP="00890BFB">
            <w:pPr>
              <w:pStyle w:val="Tablebullet"/>
            </w:pPr>
            <w:r w:rsidRPr="005D6A4F">
              <w:t>Full stove not working (where no other cooking facilities exist).</w:t>
            </w:r>
          </w:p>
          <w:p w14:paraId="1625756B" w14:textId="77777777" w:rsidR="00890BFB" w:rsidRPr="005D6A4F" w:rsidRDefault="00890BFB" w:rsidP="00890BFB">
            <w:pPr>
              <w:pStyle w:val="Tablebullet"/>
            </w:pPr>
            <w:r w:rsidRPr="005D6A4F">
              <w:t>No hot water.</w:t>
            </w:r>
          </w:p>
          <w:p w14:paraId="361644EA" w14:textId="77777777" w:rsidR="00890BFB" w:rsidRPr="005D6A4F" w:rsidRDefault="00890BFB" w:rsidP="00890BFB">
            <w:pPr>
              <w:pStyle w:val="Tablebullet"/>
            </w:pPr>
            <w:r w:rsidRPr="005D6A4F">
              <w:t>Multiple lights or power points not working.</w:t>
            </w:r>
          </w:p>
          <w:p w14:paraId="23C17D88" w14:textId="77777777" w:rsidR="00890BFB" w:rsidRDefault="00890BFB" w:rsidP="00890BFB">
            <w:pPr>
              <w:pStyle w:val="Tablebullet"/>
            </w:pPr>
            <w:r w:rsidRPr="005D6A4F">
              <w:t>Smoke alarm not working.</w:t>
            </w:r>
          </w:p>
          <w:p w14:paraId="38254B68" w14:textId="1FE4B35B" w:rsidR="00AB4CDA" w:rsidRPr="00203BAE" w:rsidRDefault="00890BFB" w:rsidP="008B1F9F">
            <w:pPr>
              <w:pStyle w:val="Tablebullet"/>
              <w:spacing w:after="60"/>
              <w:ind w:left="187"/>
            </w:pPr>
            <w:r w:rsidRPr="005D6A4F">
              <w:t>Security lights not working.</w:t>
            </w:r>
          </w:p>
        </w:tc>
      </w:tr>
      <w:tr w:rsidR="00AB4CDA" w14:paraId="57DAC5D7" w14:textId="77777777" w:rsidTr="007B5C6D">
        <w:trPr>
          <w:trHeight w:val="384"/>
        </w:trPr>
        <w:tc>
          <w:tcPr>
            <w:tcW w:w="5173" w:type="dxa"/>
            <w:vAlign w:val="center"/>
          </w:tcPr>
          <w:p w14:paraId="2DA0912D" w14:textId="77777777" w:rsidR="00AB4CDA" w:rsidRPr="0015607B" w:rsidRDefault="00AB4CDA" w:rsidP="00EE118B">
            <w:pPr>
              <w:pStyle w:val="TableText"/>
              <w:rPr>
                <w:b/>
                <w:color w:val="417373" w:themeColor="text1"/>
              </w:rPr>
            </w:pPr>
            <w:r w:rsidRPr="0015607B">
              <w:rPr>
                <w:b/>
                <w:color w:val="417373" w:themeColor="text1"/>
              </w:rPr>
              <w:t>Routine repairs</w:t>
            </w:r>
          </w:p>
          <w:p w14:paraId="0CFE78F0" w14:textId="77777777" w:rsidR="00AB4CDA" w:rsidRPr="0015607B" w:rsidRDefault="00AB4CDA" w:rsidP="00EE118B">
            <w:pPr>
              <w:pStyle w:val="TableText"/>
              <w:rPr>
                <w:b/>
              </w:rPr>
            </w:pPr>
            <w:r w:rsidRPr="0015607B">
              <w:rPr>
                <w:b/>
              </w:rPr>
              <w:t>14 day response</w:t>
            </w:r>
          </w:p>
          <w:p w14:paraId="0526B4AD" w14:textId="4AB67C31" w:rsidR="00AB4CDA" w:rsidRPr="0015607B" w:rsidRDefault="00AB4CDA" w:rsidP="00EE118B">
            <w:pPr>
              <w:pStyle w:val="TableText"/>
              <w:rPr>
                <w:i/>
              </w:rPr>
            </w:pPr>
            <w:r w:rsidRPr="0015607B">
              <w:rPr>
                <w:i/>
              </w:rPr>
              <w:t xml:space="preserve">Maintenance that does </w:t>
            </w:r>
            <w:r w:rsidR="0052464E">
              <w:rPr>
                <w:i/>
              </w:rPr>
              <w:t xml:space="preserve">not </w:t>
            </w:r>
            <w:bookmarkStart w:id="0" w:name="_GoBack"/>
            <w:bookmarkEnd w:id="0"/>
            <w:r w:rsidRPr="0015607B">
              <w:rPr>
                <w:i/>
              </w:rPr>
              <w:t>prevent regular use of the property.</w:t>
            </w:r>
          </w:p>
        </w:tc>
        <w:tc>
          <w:tcPr>
            <w:tcW w:w="5170" w:type="dxa"/>
            <w:vAlign w:val="center"/>
          </w:tcPr>
          <w:p w14:paraId="02B46036" w14:textId="77777777" w:rsidR="00890BFB" w:rsidRPr="009261B7" w:rsidRDefault="00890BFB" w:rsidP="008B1F9F">
            <w:pPr>
              <w:pStyle w:val="Tablebullet"/>
              <w:spacing w:before="60"/>
              <w:ind w:left="187"/>
            </w:pPr>
            <w:r w:rsidRPr="009261B7">
              <w:t>Slow dripping taps.</w:t>
            </w:r>
          </w:p>
          <w:p w14:paraId="5CDBBAE7" w14:textId="77777777" w:rsidR="00890BFB" w:rsidRPr="009261B7" w:rsidRDefault="00890BFB" w:rsidP="00890BFB">
            <w:pPr>
              <w:pStyle w:val="Tablebullet"/>
            </w:pPr>
            <w:r w:rsidRPr="009261B7">
              <w:t>Stove partially faulty.</w:t>
            </w:r>
          </w:p>
          <w:p w14:paraId="749E0E1A" w14:textId="77777777" w:rsidR="00890BFB" w:rsidRPr="009261B7" w:rsidRDefault="00890BFB" w:rsidP="00890BFB">
            <w:pPr>
              <w:pStyle w:val="Tablebullet"/>
            </w:pPr>
            <w:r w:rsidRPr="009261B7">
              <w:t>Water hammer.</w:t>
            </w:r>
          </w:p>
          <w:p w14:paraId="6E8FF8A6" w14:textId="77777777" w:rsidR="00890BFB" w:rsidRPr="009261B7" w:rsidRDefault="00890BFB" w:rsidP="00890BFB">
            <w:pPr>
              <w:pStyle w:val="Tablebullet"/>
            </w:pPr>
            <w:r w:rsidRPr="009261B7">
              <w:t>Doors jamming.</w:t>
            </w:r>
          </w:p>
          <w:p w14:paraId="2442E63A" w14:textId="77777777" w:rsidR="00890BFB" w:rsidRPr="009261B7" w:rsidRDefault="00890BFB" w:rsidP="00890BFB">
            <w:pPr>
              <w:pStyle w:val="Tablebullet"/>
            </w:pPr>
            <w:r w:rsidRPr="009261B7">
              <w:t>Leaking gutters or downpipes.</w:t>
            </w:r>
          </w:p>
          <w:p w14:paraId="17C5977F" w14:textId="4B4C712E" w:rsidR="00890BFB" w:rsidRPr="00890BFB" w:rsidRDefault="00890BFB" w:rsidP="00890BFB">
            <w:pPr>
              <w:pStyle w:val="Tablebullet"/>
            </w:pPr>
            <w:r w:rsidRPr="009261B7">
              <w:t>Single power outlet and lights not working.</w:t>
            </w:r>
          </w:p>
          <w:p w14:paraId="1E485467" w14:textId="12519E8F" w:rsidR="00AB4CDA" w:rsidRPr="00203BAE" w:rsidRDefault="00890BFB" w:rsidP="008B1F9F">
            <w:pPr>
              <w:pStyle w:val="TableText"/>
              <w:spacing w:before="240" w:after="60"/>
            </w:pPr>
            <w:r w:rsidRPr="009261B7">
              <w:t>Some routine repairs may be put on hold for a reasonable time in order for multiple jobs of a similar nature to be completed together.</w:t>
            </w:r>
          </w:p>
        </w:tc>
      </w:tr>
      <w:tr w:rsidR="0015607B" w14:paraId="0385674E" w14:textId="77777777" w:rsidTr="003413E3">
        <w:trPr>
          <w:trHeight w:val="348"/>
        </w:trPr>
        <w:tc>
          <w:tcPr>
            <w:tcW w:w="5173" w:type="dxa"/>
            <w:vAlign w:val="center"/>
          </w:tcPr>
          <w:p w14:paraId="66354A99" w14:textId="77777777" w:rsidR="0015607B" w:rsidRPr="0015607B" w:rsidRDefault="0015607B" w:rsidP="00EE118B">
            <w:pPr>
              <w:pStyle w:val="TableText"/>
              <w:rPr>
                <w:b/>
                <w:color w:val="417373" w:themeColor="text1"/>
              </w:rPr>
            </w:pPr>
            <w:r w:rsidRPr="0015607B">
              <w:rPr>
                <w:b/>
                <w:color w:val="417373" w:themeColor="text1"/>
              </w:rPr>
              <w:t>Defects (new build properties only)</w:t>
            </w:r>
          </w:p>
          <w:p w14:paraId="232C7C85" w14:textId="33B7BF24" w:rsidR="0015607B" w:rsidRPr="0015607B" w:rsidRDefault="0015607B" w:rsidP="00EE118B">
            <w:pPr>
              <w:pStyle w:val="TableText"/>
              <w:rPr>
                <w:i/>
              </w:rPr>
            </w:pPr>
            <w:r w:rsidRPr="0015607B">
              <w:rPr>
                <w:i/>
              </w:rPr>
              <w:t>Repairs and maintenance covered by a builder or manufacturer warranty period generally outside of the services direct control.</w:t>
            </w:r>
          </w:p>
        </w:tc>
        <w:tc>
          <w:tcPr>
            <w:tcW w:w="5170" w:type="dxa"/>
            <w:vAlign w:val="center"/>
          </w:tcPr>
          <w:p w14:paraId="37904992" w14:textId="77777777" w:rsidR="00105934" w:rsidRDefault="0015607B" w:rsidP="008B1F9F">
            <w:pPr>
              <w:pStyle w:val="TableText"/>
              <w:spacing w:after="60"/>
            </w:pPr>
            <w:r w:rsidRPr="0015607B">
              <w:t xml:space="preserve">Maintenance in the first 12 months after a new property has been built will be the responsibility of the original contractor and are known as defects repairs. </w:t>
            </w:r>
          </w:p>
          <w:p w14:paraId="4B9DE5CB" w14:textId="77F2C584" w:rsidR="0015607B" w:rsidRPr="00203BAE" w:rsidRDefault="0015607B" w:rsidP="008B1F9F">
            <w:pPr>
              <w:pStyle w:val="TableText"/>
              <w:spacing w:after="60"/>
            </w:pPr>
            <w:r w:rsidRPr="0015607B">
              <w:t>The response targets outlined above may not apply for minor defects.</w:t>
            </w:r>
          </w:p>
        </w:tc>
      </w:tr>
    </w:tbl>
    <w:p w14:paraId="15D66A88" w14:textId="69A586F8" w:rsidR="00EE118B" w:rsidRPr="00A32C42" w:rsidRDefault="00EE118B" w:rsidP="00EE118B"/>
    <w:sectPr w:rsidR="00EE118B" w:rsidRPr="00A32C42" w:rsidSect="00EE118B">
      <w:headerReference w:type="default" r:id="rId11"/>
      <w:footerReference w:type="default" r:id="rId12"/>
      <w:headerReference w:type="first" r:id="rId13"/>
      <w:footerReference w:type="first" r:id="rId14"/>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99ED" w14:textId="77777777" w:rsidR="00783FF3" w:rsidRDefault="00783FF3" w:rsidP="00EE118B">
      <w:r>
        <w:separator/>
      </w:r>
    </w:p>
    <w:p w14:paraId="73EB1780" w14:textId="77777777" w:rsidR="00783FF3" w:rsidRDefault="00783FF3" w:rsidP="00EE118B"/>
  </w:endnote>
  <w:endnote w:type="continuationSeparator" w:id="0">
    <w:p w14:paraId="75F535E6" w14:textId="77777777" w:rsidR="00783FF3" w:rsidRDefault="00783FF3" w:rsidP="00EE118B">
      <w:r>
        <w:continuationSeparator/>
      </w:r>
    </w:p>
    <w:p w14:paraId="5B21A6FF" w14:textId="77777777" w:rsidR="00783FF3" w:rsidRDefault="00783FF3"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69504" behindDoc="1" locked="0" layoutInCell="1" allowOverlap="1" wp14:anchorId="31D42BD9" wp14:editId="476E38CE">
                  <wp:simplePos x="0" y="0"/>
                  <wp:positionH relativeFrom="column">
                    <wp:posOffset>-439535</wp:posOffset>
                  </wp:positionH>
                  <wp:positionV relativeFrom="page">
                    <wp:posOffset>10185400</wp:posOffset>
                  </wp:positionV>
                  <wp:extent cx="7560000" cy="540000"/>
                  <wp:effectExtent l="0" t="0" r="0" b="635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8885" id="Rectangle 7" o:spid="_x0000_s1026" style="position:absolute;margin-left:-34.6pt;margin-top:802pt;width:595.3pt;height: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" fillcolor="#74a7a4 [3215]" stroked="f" strokeweight="1pt">
                  <w10:wrap anchory="page"/>
                </v:rect>
              </w:pict>
            </mc:Fallback>
          </mc:AlternateContent>
        </w:r>
        <w:r w:rsidR="003D4A29" w:rsidRPr="005B7A59">
          <w:t xml:space="preserve"> </w:t>
        </w:r>
      </w:p>
      <w:p w14:paraId="12E29F3A" w14:textId="555887FC" w:rsidR="003D4A29" w:rsidRPr="005B7A59" w:rsidRDefault="00E375DD" w:rsidP="00EE118B">
        <w:pPr>
          <w:pStyle w:val="Foote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52464E">
          <w:rPr>
            <w:rFonts w:eastAsiaTheme="minorHAnsi"/>
            <w:noProof/>
          </w:rPr>
          <w:t>Repairs and Maintenance.</w:t>
        </w:r>
        <w:r w:rsidRPr="003328D0">
          <w:rPr>
            <w:rFonts w:eastAsiaTheme="minorHAnsi"/>
          </w:rPr>
          <w:fldChar w:fldCharType="end"/>
        </w:r>
        <w:r w:rsidR="003328D0">
          <w:rPr>
            <w:rFonts w:eastAsiaTheme="minorHAnsi"/>
            <w:color w:val="000000"/>
          </w:rPr>
          <w:t xml:space="preserve">  </w:t>
        </w:r>
        <w:r w:rsidRPr="006B24DA">
          <w:rPr>
            <w:color w:val="000000"/>
          </w:rPr>
          <w:t xml:space="preserve">Version </w:t>
        </w:r>
        <w:r w:rsidR="006B24DA">
          <w:rPr>
            <w:color w:val="000000"/>
          </w:rPr>
          <w:t>5</w:t>
        </w:r>
        <w:r w:rsidRPr="006B24DA">
          <w:rPr>
            <w:color w:val="000000"/>
          </w:rPr>
          <w:t>.</w:t>
        </w:r>
        <w:r w:rsidR="006B24DA">
          <w:rPr>
            <w:color w:val="000000"/>
          </w:rPr>
          <w:t>1</w:t>
        </w:r>
        <w:r w:rsidRPr="006B24DA">
          <w:rPr>
            <w:color w:val="000000"/>
          </w:rPr>
          <w:t xml:space="preserve"> as at </w:t>
        </w:r>
        <w:r w:rsidR="006B24DA">
          <w:rPr>
            <w:color w:val="000000"/>
          </w:rPr>
          <w:t>21</w:t>
        </w:r>
        <w:r w:rsidRPr="006B24DA">
          <w:rPr>
            <w:color w:val="000000"/>
          </w:rPr>
          <w:t>/0</w:t>
        </w:r>
        <w:r w:rsidR="006B24DA">
          <w:rPr>
            <w:color w:val="000000"/>
          </w:rPr>
          <w:t>5</w:t>
        </w:r>
        <w:r w:rsidRPr="006B24DA">
          <w:rPr>
            <w:color w:val="000000"/>
          </w:rPr>
          <w:t>/</w:t>
        </w:r>
        <w:r w:rsidR="006B24DA">
          <w:rPr>
            <w:color w:val="000000"/>
          </w:rPr>
          <w:t>24</w:t>
        </w:r>
        <w:r w:rsidR="002E2913">
          <w:tab/>
        </w:r>
        <w:r w:rsidR="00401EB3" w:rsidRPr="005B7A59">
          <w:tab/>
        </w:r>
        <w:r w:rsidR="00401EB3" w:rsidRPr="005B7A59">
          <w:tab/>
          <w:t xml:space="preserve">         </w:t>
        </w:r>
        <w:r w:rsidR="003D4A29" w:rsidRPr="005B7A59">
          <w:rPr>
            <w:bCs/>
            <w:lang w:eastAsia="de-DE"/>
          </w:rPr>
          <w:fldChar w:fldCharType="begin"/>
        </w:r>
        <w:r w:rsidR="003D4A29" w:rsidRPr="005B7A59">
          <w:rPr>
            <w:bCs/>
            <w:lang w:eastAsia="de-DE"/>
          </w:rPr>
          <w:instrText xml:space="preserve"> PAGE </w:instrText>
        </w:r>
        <w:r w:rsidR="003D4A29" w:rsidRPr="005B7A59">
          <w:rPr>
            <w:bCs/>
            <w:lang w:eastAsia="de-DE"/>
          </w:rPr>
          <w:fldChar w:fldCharType="separate"/>
        </w:r>
        <w:r w:rsidR="003D4A29" w:rsidRPr="005B7A59">
          <w:rPr>
            <w:bCs/>
            <w:lang w:eastAsia="de-DE"/>
          </w:rPr>
          <w:t>3</w:t>
        </w:r>
        <w:r w:rsidR="003D4A29" w:rsidRPr="005B7A59">
          <w:rPr>
            <w:bCs/>
            <w:lang w:eastAsia="de-DE"/>
          </w:rPr>
          <w:fldChar w:fldCharType="end"/>
        </w:r>
        <w:r w:rsidR="003D4A29" w:rsidRPr="005B7A59">
          <w:rPr>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p w14:paraId="40070DF0" w14:textId="77777777" w:rsidR="00AD4446" w:rsidRDefault="00AD4446" w:rsidP="00EE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8D81" w14:textId="74931E59" w:rsidR="00E64C59" w:rsidRDefault="00EE118B" w:rsidP="00EE118B">
    <w:pPr>
      <w:pStyle w:val="Footer"/>
    </w:pPr>
    <w:r w:rsidRPr="005B7A59">
      <w:rPr>
        <w:noProof/>
      </w:rPr>
      <mc:AlternateContent>
        <mc:Choice Requires="wps">
          <w:drawing>
            <wp:anchor distT="0" distB="0" distL="114300" distR="114300" simplePos="0" relativeHeight="251672576" behindDoc="0" locked="0" layoutInCell="1" allowOverlap="1" wp14:anchorId="3375EE05" wp14:editId="1E085D5D">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FAE5" id="Rectangle 7" o:spid="_x0000_s1026" style="position:absolute;margin-left:-34pt;margin-top:798.55pt;width:595.3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" fillcolor="#74a7a4 [3215]" stroked="f" strokeweight="1pt">
              <w10:wrap anchory="page"/>
            </v:rect>
          </w:pict>
        </mc:Fallback>
      </mc:AlternateContent>
    </w:r>
    <w:r w:rsidR="00737647">
      <w:rPr>
        <w:noProof/>
      </w:rPr>
      <mc:AlternateContent>
        <mc:Choice Requires="wps">
          <w:drawing>
            <wp:anchor distT="0" distB="0" distL="114300" distR="114300" simplePos="0" relativeHeight="251668480" behindDoc="1" locked="0" layoutInCell="1" allowOverlap="1" wp14:anchorId="7D6DF216" wp14:editId="2DAE590B">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CE504" id="Rectangle 7" o:spid="_x0000_s1026" style="position:absolute;margin-left:-39.7pt;margin-top:798.55pt;width:595.3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" fillcolor="#74a7a4 [3215]" stroked="f" strokeweight="1pt">
              <w10:wrap anchory="page"/>
            </v:rect>
          </w:pict>
        </mc:Fallback>
      </mc:AlternateContent>
    </w:r>
    <w:r w:rsidR="00E64C59">
      <w:tab/>
    </w:r>
    <w:r w:rsidR="00E64C59">
      <w:tab/>
    </w:r>
    <w:r w:rsidR="00E64C59" w:rsidRPr="00B057E3">
      <w:t>Version 0.</w:t>
    </w:r>
    <w:r w:rsidR="001F7340">
      <w:t>0</w:t>
    </w:r>
    <w:r w:rsidR="00E64C59" w:rsidRPr="00B057E3">
      <w:t xml:space="preserve"> as at 00/00/0000</w:t>
    </w:r>
  </w:p>
  <w:p w14:paraId="4E4C563E" w14:textId="77777777" w:rsidR="00E64C59" w:rsidRDefault="00E64C59" w:rsidP="00E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F0BD" w14:textId="77777777" w:rsidR="00783FF3" w:rsidRDefault="00783FF3" w:rsidP="00EE118B">
      <w:r>
        <w:separator/>
      </w:r>
    </w:p>
    <w:p w14:paraId="693038D5" w14:textId="77777777" w:rsidR="00783FF3" w:rsidRDefault="00783FF3" w:rsidP="00EE118B"/>
  </w:footnote>
  <w:footnote w:type="continuationSeparator" w:id="0">
    <w:p w14:paraId="19AAC96C" w14:textId="77777777" w:rsidR="00783FF3" w:rsidRDefault="00783FF3" w:rsidP="00EE118B">
      <w:r>
        <w:continuationSeparator/>
      </w:r>
    </w:p>
    <w:p w14:paraId="47FDE9A8" w14:textId="77777777" w:rsidR="00783FF3" w:rsidRDefault="00783FF3"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187E3DEE" w:rsidR="00AD4446" w:rsidRDefault="008673A1" w:rsidP="00FB107C">
    <w:pPr>
      <w:pStyle w:val="Header"/>
    </w:pPr>
    <w:r>
      <w:t>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5C99B580" w:rsidR="00C370BE" w:rsidRPr="00EB089E" w:rsidRDefault="00EE118B" w:rsidP="00EE118B">
    <w:pPr>
      <w:pStyle w:val="Header"/>
    </w:pPr>
    <w:r w:rsidRPr="00F35AAE">
      <w:rPr>
        <w:noProof/>
        <w:color w:val="FFFEFE" w:themeColor="background1"/>
      </w:rPr>
      <w:drawing>
        <wp:anchor distT="0" distB="0" distL="114300" distR="114300" simplePos="0" relativeHeight="251652096" behindDoc="0" locked="0" layoutInCell="1" allowOverlap="1" wp14:anchorId="4975360A" wp14:editId="003561A8">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Pr="00F35AAE">
      <w:rPr>
        <w:noProof/>
        <w:color w:val="FFFEFE" w:themeColor="background1"/>
      </w:rPr>
      <mc:AlternateContent>
        <mc:Choice Requires="wps">
          <w:drawing>
            <wp:anchor distT="0" distB="0" distL="114300" distR="114300" simplePos="0" relativeHeight="251648000"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19641C" w14:textId="3B4EF973" w:rsidR="00EB089E" w:rsidRPr="00EB089E" w:rsidRDefault="00EB089E" w:rsidP="00EE11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margin-left:0;margin-top:0;width:595.3pt;height:845.3pt;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4219641C" w14:textId="3B4EF973" w:rsidR="00EB089E" w:rsidRPr="00EB089E" w:rsidRDefault="00EB089E" w:rsidP="00EE118B"/>
                </w:txbxContent>
              </v:textbox>
              <w10:wrap anchorx="page" anchory="page"/>
            </v:rect>
          </w:pict>
        </mc:Fallback>
      </mc:AlternateContent>
    </w:r>
    <w:r w:rsidR="00737647" w:rsidRPr="00F35AAE">
      <w:rPr>
        <w:noProof/>
        <w:color w:val="FFFEFE" w:themeColor="background1"/>
      </w:rPr>
      <w:drawing>
        <wp:anchor distT="0" distB="0" distL="114300" distR="114300" simplePos="0" relativeHeight="251654144" behindDoc="0" locked="0" layoutInCell="1" allowOverlap="1" wp14:anchorId="52C9E67B" wp14:editId="423A19C6">
          <wp:simplePos x="0" y="0"/>
          <wp:positionH relativeFrom="column">
            <wp:posOffset>5027930</wp:posOffset>
          </wp:positionH>
          <wp:positionV relativeFrom="paragraph">
            <wp:posOffset>-174625</wp:posOffset>
          </wp:positionV>
          <wp:extent cx="1515341" cy="801807"/>
          <wp:effectExtent l="0" t="0" r="0" b="0"/>
          <wp:wrapNone/>
          <wp:docPr id="10986227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00F35AAE">
      <w:rPr>
        <w:color w:val="FFFEFE" w:themeColor="background1"/>
      </w:rPr>
      <w:t>HOUSING SERVICES</w:t>
    </w:r>
    <w:r w:rsidR="00EB089E" w:rsidRPr="00F35AAE">
      <w:rPr>
        <w:color w:val="FFFEFE" w:themeColor="background1"/>
      </w:rPr>
      <w:t xml:space="preserve"> </w:t>
    </w:r>
    <w:r w:rsidR="00EB089E"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82470B"/>
    <w:multiLevelType w:val="hybridMultilevel"/>
    <w:tmpl w:val="8A22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3" w15:restartNumberingAfterBreak="0">
    <w:nsid w:val="269D0CD9"/>
    <w:multiLevelType w:val="hybridMultilevel"/>
    <w:tmpl w:val="946EE800"/>
    <w:lvl w:ilvl="0" w:tplc="E8520F72">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4"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677755B"/>
    <w:multiLevelType w:val="hybridMultilevel"/>
    <w:tmpl w:val="D9FE86FC"/>
    <w:lvl w:ilvl="0" w:tplc="1402056E">
      <w:start w:val="1"/>
      <w:numFmt w:val="bullet"/>
      <w:pStyle w:val="Table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6"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3884D03"/>
    <w:multiLevelType w:val="hybridMultilevel"/>
    <w:tmpl w:val="A13E6348"/>
    <w:lvl w:ilvl="0" w:tplc="51CC7296">
      <w:start w:val="1"/>
      <w:numFmt w:val="bullet"/>
      <w:pStyle w:val="ListParagraph"/>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2B2A9F"/>
    <w:multiLevelType w:val="hybridMultilevel"/>
    <w:tmpl w:val="A4222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lvlOverride w:ilvl="0">
      <w:startOverride w:val="1"/>
    </w:lvlOverride>
  </w:num>
  <w:num w:numId="3">
    <w:abstractNumId w:val="0"/>
  </w:num>
  <w:num w:numId="4">
    <w:abstractNumId w:val="4"/>
    <w:lvlOverride w:ilvl="0">
      <w:startOverride w:val="1"/>
    </w:lvlOverride>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2"/>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8"/>
  </w:num>
  <w:num w:numId="21">
    <w:abstractNumId w:val="7"/>
  </w:num>
  <w:num w:numId="22">
    <w:abstractNumId w:val="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50DF8"/>
    <w:rsid w:val="000607BD"/>
    <w:rsid w:val="000E6B57"/>
    <w:rsid w:val="000E7EB0"/>
    <w:rsid w:val="001037AB"/>
    <w:rsid w:val="00105934"/>
    <w:rsid w:val="00142F67"/>
    <w:rsid w:val="0015607B"/>
    <w:rsid w:val="00191FAA"/>
    <w:rsid w:val="00193744"/>
    <w:rsid w:val="001B4DF5"/>
    <w:rsid w:val="001D6B4D"/>
    <w:rsid w:val="001F7340"/>
    <w:rsid w:val="00203BAE"/>
    <w:rsid w:val="0021114C"/>
    <w:rsid w:val="0022789C"/>
    <w:rsid w:val="00283D5D"/>
    <w:rsid w:val="002D7022"/>
    <w:rsid w:val="002E2913"/>
    <w:rsid w:val="003246E7"/>
    <w:rsid w:val="003328D0"/>
    <w:rsid w:val="00335A76"/>
    <w:rsid w:val="00366912"/>
    <w:rsid w:val="00371142"/>
    <w:rsid w:val="00374355"/>
    <w:rsid w:val="00380AF6"/>
    <w:rsid w:val="00395BAA"/>
    <w:rsid w:val="003B041E"/>
    <w:rsid w:val="003D2D19"/>
    <w:rsid w:val="003D4A29"/>
    <w:rsid w:val="003F095D"/>
    <w:rsid w:val="004010BF"/>
    <w:rsid w:val="00401EB3"/>
    <w:rsid w:val="00405123"/>
    <w:rsid w:val="00427BAD"/>
    <w:rsid w:val="0044507C"/>
    <w:rsid w:val="004534F0"/>
    <w:rsid w:val="00480369"/>
    <w:rsid w:val="004C3C7C"/>
    <w:rsid w:val="004E1C03"/>
    <w:rsid w:val="004F3255"/>
    <w:rsid w:val="0051078B"/>
    <w:rsid w:val="00513B7E"/>
    <w:rsid w:val="0052062E"/>
    <w:rsid w:val="0052464E"/>
    <w:rsid w:val="00555F89"/>
    <w:rsid w:val="00557936"/>
    <w:rsid w:val="00576D94"/>
    <w:rsid w:val="00581BFE"/>
    <w:rsid w:val="005B58E3"/>
    <w:rsid w:val="005B7A59"/>
    <w:rsid w:val="005E2F6E"/>
    <w:rsid w:val="005E70B5"/>
    <w:rsid w:val="00617962"/>
    <w:rsid w:val="00655AE3"/>
    <w:rsid w:val="00662E35"/>
    <w:rsid w:val="00671CA6"/>
    <w:rsid w:val="00686E2A"/>
    <w:rsid w:val="00692BFB"/>
    <w:rsid w:val="006B24DA"/>
    <w:rsid w:val="006B4DC5"/>
    <w:rsid w:val="00711694"/>
    <w:rsid w:val="007124C3"/>
    <w:rsid w:val="00737647"/>
    <w:rsid w:val="00761417"/>
    <w:rsid w:val="00783FF3"/>
    <w:rsid w:val="007B047C"/>
    <w:rsid w:val="007B6C5F"/>
    <w:rsid w:val="008416A1"/>
    <w:rsid w:val="008670E2"/>
    <w:rsid w:val="008673A1"/>
    <w:rsid w:val="00890BFB"/>
    <w:rsid w:val="008B1F9F"/>
    <w:rsid w:val="008C0007"/>
    <w:rsid w:val="008C5579"/>
    <w:rsid w:val="008E3840"/>
    <w:rsid w:val="008E386F"/>
    <w:rsid w:val="008E3962"/>
    <w:rsid w:val="00901FEC"/>
    <w:rsid w:val="00921995"/>
    <w:rsid w:val="00927196"/>
    <w:rsid w:val="00937852"/>
    <w:rsid w:val="00942922"/>
    <w:rsid w:val="00952E95"/>
    <w:rsid w:val="00A32C42"/>
    <w:rsid w:val="00A63816"/>
    <w:rsid w:val="00A84ED7"/>
    <w:rsid w:val="00A9391E"/>
    <w:rsid w:val="00A94B2D"/>
    <w:rsid w:val="00A95320"/>
    <w:rsid w:val="00AA0A46"/>
    <w:rsid w:val="00AA691F"/>
    <w:rsid w:val="00AB4CDA"/>
    <w:rsid w:val="00AD4446"/>
    <w:rsid w:val="00AD46A4"/>
    <w:rsid w:val="00B32956"/>
    <w:rsid w:val="00B671B2"/>
    <w:rsid w:val="00B7041B"/>
    <w:rsid w:val="00BC0608"/>
    <w:rsid w:val="00BC301E"/>
    <w:rsid w:val="00C1040F"/>
    <w:rsid w:val="00C115E7"/>
    <w:rsid w:val="00C22D24"/>
    <w:rsid w:val="00C370BE"/>
    <w:rsid w:val="00C92365"/>
    <w:rsid w:val="00CA06CA"/>
    <w:rsid w:val="00CC06C3"/>
    <w:rsid w:val="00CC22FC"/>
    <w:rsid w:val="00CD3F1D"/>
    <w:rsid w:val="00D10239"/>
    <w:rsid w:val="00D2710E"/>
    <w:rsid w:val="00D50387"/>
    <w:rsid w:val="00D51201"/>
    <w:rsid w:val="00D80A77"/>
    <w:rsid w:val="00D94290"/>
    <w:rsid w:val="00DE628F"/>
    <w:rsid w:val="00E2053F"/>
    <w:rsid w:val="00E32A75"/>
    <w:rsid w:val="00E375DD"/>
    <w:rsid w:val="00E64C59"/>
    <w:rsid w:val="00E876AA"/>
    <w:rsid w:val="00EB089E"/>
    <w:rsid w:val="00EB7891"/>
    <w:rsid w:val="00EC05A7"/>
    <w:rsid w:val="00ED0525"/>
    <w:rsid w:val="00EE118B"/>
    <w:rsid w:val="00EE210E"/>
    <w:rsid w:val="00F262B4"/>
    <w:rsid w:val="00F3014C"/>
    <w:rsid w:val="00F35AAE"/>
    <w:rsid w:val="00F3638A"/>
    <w:rsid w:val="00F41340"/>
    <w:rsid w:val="00F46925"/>
    <w:rsid w:val="00F66CBB"/>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1B4DF5"/>
    <w:pPr>
      <w:keepNext/>
      <w:keepLines/>
      <w:spacing w:before="2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asciiTheme="minorHAnsi" w:eastAsia="Times New Roman"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clear" w:pos="644"/>
        <w:tab w:val="num" w:pos="426"/>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1B4DF5"/>
    <w:rPr>
      <w:rFonts w:asciiTheme="minorHAnsi" w:eastAsiaTheme="majorEastAsia" w:hAnsiTheme="minorHAnsi" w:cstheme="majorBidi"/>
      <w:sz w:val="32"/>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Tablebullet">
    <w:name w:val="Table bullet"/>
    <w:next w:val="Normal"/>
    <w:qFormat/>
    <w:rsid w:val="006B24DA"/>
    <w:pPr>
      <w:numPr>
        <w:numId w:val="23"/>
      </w:numPr>
      <w:spacing w:after="0"/>
      <w:ind w:left="189" w:hanging="215"/>
    </w:pPr>
    <w:rPr>
      <w:rFonts w:asciiTheme="minorHAnsi" w:eastAsia="MS Mincho" w:hAnsiTheme="minorHAnsi" w:cs="Arial"/>
      <w:color w:val="1A1918"/>
      <w:sz w:val="20"/>
      <w:szCs w:val="20"/>
      <w:lang w:eastAsia="ja-JP"/>
    </w:rPr>
  </w:style>
  <w:style w:type="paragraph" w:customStyle="1" w:styleId="BodyText1">
    <w:name w:val="Body Text1"/>
    <w:link w:val="BodyText1Char"/>
    <w:qFormat/>
    <w:rsid w:val="00890BFB"/>
    <w:pPr>
      <w:spacing w:after="120" w:line="240" w:lineRule="auto"/>
    </w:pPr>
    <w:rPr>
      <w:rFonts w:asciiTheme="minorHAnsi" w:eastAsia="MS Mincho" w:hAnsiTheme="minorHAnsi" w:cs="Arial"/>
      <w:color w:val="1A1918"/>
      <w:szCs w:val="24"/>
      <w:lang w:eastAsia="ja-JP"/>
    </w:rPr>
  </w:style>
  <w:style w:type="character" w:customStyle="1" w:styleId="BodyText1Char">
    <w:name w:val="Body Text1 Char"/>
    <w:basedOn w:val="HeaderChar"/>
    <w:link w:val="BodyText1"/>
    <w:rsid w:val="00890BFB"/>
    <w:rPr>
      <w:rFonts w:asciiTheme="minorHAnsi" w:eastAsia="MS Mincho" w:hAnsiTheme="minorHAnsi" w:cs="Arial"/>
      <w:color w:val="1A19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Value>723</Value>
    </Related_x0020_Procedures1>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Info xmlns="http://schemas.microsoft.com/office/infopath/2007/PartnerControls">
          <TermName xmlns="http://schemas.microsoft.com/office/infopath/2007/PartnerControls">Caravan Park</TermName>
          <TermId xmlns="http://schemas.microsoft.com/office/infopath/2007/PartnerControls">bf681b4b-7ef9-49bf-9e25-33638f3eb0b6</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Repairs and Maintenance</TermName>
          <TermId xmlns="http://schemas.microsoft.com/office/infopath/2007/PartnerControls">9f3af42b-b079-4734-ab97-d4df8314dc80</TermId>
        </TermInfo>
        <TermInfo xmlns="http://schemas.microsoft.com/office/infopath/2007/PartnerControls">
          <TermName xmlns="http://schemas.microsoft.com/office/infopath/2007/PartnerControls">Asset Management</TermName>
          <TermId xmlns="http://schemas.microsoft.com/office/infopath/2007/PartnerControls">458d0eec-a0f7-433e-be5f-57498cef9723</TermId>
        </TermInfo>
        <TermInfo xmlns="http://schemas.microsoft.com/office/infopath/2007/PartnerControls">
          <TermName xmlns="http://schemas.microsoft.com/office/infopath/2007/PartnerControls">Property Management</TermName>
          <TermId xmlns="http://schemas.microsoft.com/office/infopath/2007/PartnerControls">0a3d0869-df2f-45ad-a0d7-d9f90a1ffd25</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JWF3P42KHV6Y-8-4886</_dlc_DocId>
    <TaxCatchAll xmlns="44a7cf9d-e1d3-4cde-832a-95b73fc4b484">
      <Value>1151</Value>
      <Value>1149</Value>
      <Value>2110</Value>
      <Value>2188</Value>
      <Value>1146</Value>
      <Value>1791</Value>
      <Value>1790</Value>
      <Value>1651</Value>
      <Value>2097</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5.1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2024-05-21T00:00:00+00:00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https://stafflink.cofcqld.com.au/sites/docs/_layouts/15/DocIdRedir.aspx?ID=JWF3P42KHV6Y-8-4886</Url>
      <Description>JWF3P42KHV6Y-8-4886</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43E54-E1E0-4BDF-8726-841D4527A1AB}">
  <ds:schemaRefs>
    <ds:schemaRef ds:uri="http://purl.org/dc/terms/"/>
    <ds:schemaRef ds:uri="http://purl.org/dc/dcmitype/"/>
    <ds:schemaRef ds:uri="http://schemas.microsoft.com/office/2006/documentManagement/types"/>
    <ds:schemaRef ds:uri="http://purl.org/dc/elements/1.1/"/>
    <ds:schemaRef ds:uri="44a7cf9d-e1d3-4cde-832a-95b73fc4b484"/>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9DC667DE-623D-4EC6-92AA-22EBAF7464E7}"/>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Sheet - Teal - External - HS</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Repairs and Maintenance Information Sheet - HS</dc:title>
  <dc:subject/>
  <dc:creator>Microsoft Office User</dc:creator>
  <cp:keywords/>
  <dc:description/>
  <cp:lastModifiedBy>Damian McComb</cp:lastModifiedBy>
  <cp:revision>3</cp:revision>
  <dcterms:created xsi:type="dcterms:W3CDTF">2024-05-21T04:15:00Z</dcterms:created>
  <dcterms:modified xsi:type="dcterms:W3CDTF">2024-09-02T04:43:00Z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1791;#Housing Programs|ebd50e35-4fff-45f4-988c-dc83f5ed9775;#1151;#Affordable Living Housing|5199db11-6be9-46ff-b957-c7acf6b3b85e;#1651;#Disability Housing Service|838a0776-c10d-40b2-86bd-69d6e09debee;#1790;#Lady Musgrave Trust Program|2569f951-8e36-4552-b177-879eb4916980;#1149;#Caravan Park|bf681b4b-7ef9-49bf-9e25-33638f3eb0b6</vt:lpwstr>
  </property>
  <property fmtid="{D5CDD505-2E9C-101B-9397-08002B2CF9AE}" pid="9" name="System Owner">
    <vt:lpwstr>1146;#Housing Services|6893d2ef-c52f-4f66-859f-bc526a7f39e0</vt:lpwstr>
  </property>
  <property fmtid="{D5CDD505-2E9C-101B-9397-08002B2CF9AE}" pid="10" name="_dlc_DocIdItemGuid">
    <vt:lpwstr>00878505-d951-44c2-b6f8-ecf6e3d13240</vt:lpwstr>
  </property>
  <property fmtid="{D5CDD505-2E9C-101B-9397-08002B2CF9AE}" pid="11" name="Process">
    <vt:lpwstr>2097;#Repairs and Maintenance|9f3af42b-b079-4734-ab97-d4df8314dc80;#2110;#Asset Management|458d0eec-a0f7-433e-be5f-57498cef9723;#2188;#Property Management|0a3d0869-df2f-45ad-a0d7-d9f90a1ffd25</vt:lpwstr>
  </property>
  <property fmtid="{D5CDD505-2E9C-101B-9397-08002B2CF9AE}" pid="12" name="Policy Group">
    <vt:lpwstr>Unassigned</vt:lpwstr>
  </property>
  <property fmtid="{D5CDD505-2E9C-101B-9397-08002B2CF9AE}" pid="13" name="Service Area">
    <vt:lpwstr/>
  </property>
  <property fmtid="{D5CDD505-2E9C-101B-9397-08002B2CF9AE}" pid="14" name="SharedWithUsers">
    <vt:lpwstr>178;#Damian McComb;#350;#Karen Bozier;#600;#Rebecca De Sousa</vt:lpwstr>
  </property>
  <property fmtid="{D5CDD505-2E9C-101B-9397-08002B2CF9AE}" pid="15" name="Perspective">
    <vt:lpwstr>Unassigned</vt:lpwstr>
  </property>
  <property fmtid="{D5CDD505-2E9C-101B-9397-08002B2CF9AE}" pid="16" name="Service Stream">
    <vt:lpwstr>Unassigned</vt:lpwstr>
  </property>
  <property fmtid="{D5CDD505-2E9C-101B-9397-08002B2CF9AE}" pid="17" name="System - Organisational">
    <vt:lpwstr>Unassigned</vt:lpwstr>
  </property>
  <property fmtid="{D5CDD505-2E9C-101B-9397-08002B2CF9AE}" pid="18" name="Process - Organisational">
    <vt:lpwstr>Unassigned</vt:lpwstr>
  </property>
  <property fmtid="{D5CDD505-2E9C-101B-9397-08002B2CF9AE}" pid="19" name="Process Sequence">
    <vt:lpwstr>Unassigned</vt:lpwstr>
  </property>
  <property fmtid="{D5CDD505-2E9C-101B-9397-08002B2CF9AE}" pid="20" name="Approval Area">
    <vt:lpwstr>Housing Services</vt:lpwstr>
  </property>
  <property fmtid="{D5CDD505-2E9C-101B-9397-08002B2CF9AE}" pid="21" name="Division">
    <vt:lpwstr>Unassigned</vt:lpwstr>
  </property>
  <property fmtid="{D5CDD505-2E9C-101B-9397-08002B2CF9AE}" pid="22" name="Additional Service Type">
    <vt:lpwstr/>
  </property>
  <property fmtid="{D5CDD505-2E9C-101B-9397-08002B2CF9AE}" pid="23" name="3 year review">
    <vt:filetime>2017-12-31T14:00:00Z</vt:filetime>
  </property>
  <property fmtid="{D5CDD505-2E9C-101B-9397-08002B2CF9AE}" pid="24" name="d82d0db5ae8f44e8bb1947c653304b41">
    <vt:lpwstr/>
  </property>
  <property fmtid="{D5CDD505-2E9C-101B-9397-08002B2CF9AE}" pid="25" name="Approval Area1">
    <vt:lpwstr/>
  </property>
  <property fmtid="{D5CDD505-2E9C-101B-9397-08002B2CF9AE}" pid="26" name="Template Type">
    <vt:lpwstr>Information Sheet</vt:lpwstr>
  </property>
  <property fmtid="{D5CDD505-2E9C-101B-9397-08002B2CF9AE}" pid="27" name="e538eacd8ff24c26b07681822b9b3d0a">
    <vt:lpwstr>Housing Services|6893d2ef-c52f-4f66-859f-bc526a7f39e0</vt:lpwstr>
  </property>
</Properties>
</file>