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4CA08" w14:textId="77777777" w:rsidR="00737647" w:rsidRDefault="00737647" w:rsidP="00FB107C">
      <w:pPr>
        <w:rPr>
          <w:highlight w:val="yellow"/>
        </w:rPr>
      </w:pPr>
    </w:p>
    <w:p w14:paraId="0C4EDA44" w14:textId="77777777" w:rsidR="00EE118B" w:rsidRDefault="00EE118B" w:rsidP="00EE118B"/>
    <w:p w14:paraId="469E454D" w14:textId="77777777" w:rsidR="00FB107C" w:rsidRDefault="00FB107C" w:rsidP="00EE118B"/>
    <w:p w14:paraId="678D001E" w14:textId="77777777" w:rsidR="00DC0707" w:rsidRDefault="00DC0707" w:rsidP="00EE118B"/>
    <w:p w14:paraId="563B5A00" w14:textId="0F16BC84" w:rsidR="004F3255" w:rsidRPr="001C139F" w:rsidRDefault="001C139F" w:rsidP="003328D0">
      <w:pPr>
        <w:pStyle w:val="Titlelinkedtofooter"/>
        <w:rPr>
          <w:color w:val="auto"/>
          <w:sz w:val="48"/>
          <w:szCs w:val="56"/>
        </w:rPr>
      </w:pPr>
      <w:r>
        <w:rPr>
          <w:color w:val="auto"/>
          <w:sz w:val="48"/>
          <w:szCs w:val="56"/>
        </w:rPr>
        <w:t>Rent and Eligibility.</w:t>
      </w:r>
    </w:p>
    <w:p w14:paraId="7771F964" w14:textId="2FD30D8B" w:rsidR="00DC0707" w:rsidRPr="001C139F" w:rsidRDefault="001C139F" w:rsidP="001C139F">
      <w:pPr>
        <w:pStyle w:val="Intro"/>
        <w:rPr>
          <w:color w:val="417373" w:themeColor="text1"/>
        </w:rPr>
      </w:pPr>
      <w:r w:rsidRPr="001C139F">
        <w:rPr>
          <w:color w:val="417373" w:themeColor="text1"/>
        </w:rPr>
        <w:t>Community housing tenants are required to pay rent along with a rental bond and, in some instances, a service charge. The amount required will vary depending on the type of housing provided along with household income and individual circumstances.</w:t>
      </w:r>
    </w:p>
    <w:p w14:paraId="23AE4E86" w14:textId="77777777" w:rsidR="001C139F" w:rsidRDefault="001C139F" w:rsidP="00033955">
      <w:r w:rsidRPr="001C139F">
        <w:t>Tenants must also be eligible to receive assistance from the social housing system—ongoing eligibility is also specific to the type of housing provided.</w:t>
      </w:r>
    </w:p>
    <w:p w14:paraId="08CB021A" w14:textId="77777777" w:rsidR="001C139F" w:rsidRPr="001C139F" w:rsidRDefault="001C139F" w:rsidP="00D717AF">
      <w:pPr>
        <w:pStyle w:val="Heading2"/>
        <w:spacing w:after="60"/>
        <w:rPr>
          <w:sz w:val="24"/>
          <w:szCs w:val="22"/>
        </w:rPr>
      </w:pPr>
      <w:r w:rsidRPr="001C139F">
        <w:rPr>
          <w:sz w:val="24"/>
          <w:szCs w:val="22"/>
        </w:rPr>
        <w:t>What type of housing assistance am I receiving?</w:t>
      </w:r>
    </w:p>
    <w:p w14:paraId="0941C51B" w14:textId="77777777" w:rsidR="001C139F" w:rsidRDefault="001C139F" w:rsidP="001C139F">
      <w:r>
        <w:t xml:space="preserve">The type of housing assistance you are receiving is detailed in your Tenancy Agreement’s </w:t>
      </w:r>
      <w:r w:rsidRPr="00B04E10">
        <w:rPr>
          <w:b/>
          <w:bCs/>
          <w:color w:val="74A7A4" w:themeColor="text2"/>
        </w:rPr>
        <w:t>Annexure A</w:t>
      </w:r>
      <w:r>
        <w:t>. The annexure details the housing program applicable to the property and the rent and eligibility requirements.</w:t>
      </w:r>
    </w:p>
    <w:p w14:paraId="3A997DF9" w14:textId="77777777" w:rsidR="001C139F" w:rsidRPr="001C139F" w:rsidRDefault="001C139F" w:rsidP="00D717AF">
      <w:pPr>
        <w:pStyle w:val="Heading2"/>
        <w:spacing w:after="60"/>
        <w:rPr>
          <w:sz w:val="24"/>
          <w:szCs w:val="22"/>
        </w:rPr>
      </w:pPr>
      <w:r w:rsidRPr="001C139F">
        <w:rPr>
          <w:sz w:val="24"/>
          <w:szCs w:val="22"/>
        </w:rPr>
        <w:t>How is my rent calculated?</w:t>
      </w:r>
    </w:p>
    <w:p w14:paraId="2D828F67" w14:textId="3C286A77" w:rsidR="001C139F" w:rsidRPr="001C139F" w:rsidRDefault="001C139F" w:rsidP="00D717AF">
      <w:pPr>
        <w:pStyle w:val="BodyText1"/>
        <w:rPr>
          <w:sz w:val="20"/>
          <w:szCs w:val="22"/>
        </w:rPr>
      </w:pPr>
      <w:r w:rsidRPr="001C139F">
        <w:rPr>
          <w:sz w:val="20"/>
          <w:szCs w:val="22"/>
        </w:rPr>
        <w:t xml:space="preserve">The </w:t>
      </w:r>
      <w:r>
        <w:rPr>
          <w:sz w:val="20"/>
          <w:szCs w:val="22"/>
        </w:rPr>
        <w:t>Queensland Government’s</w:t>
      </w:r>
      <w:r w:rsidRPr="001C139F">
        <w:rPr>
          <w:sz w:val="20"/>
          <w:szCs w:val="22"/>
        </w:rPr>
        <w:t xml:space="preserve"> </w:t>
      </w:r>
      <w:r w:rsidRPr="00B04E10">
        <w:rPr>
          <w:b/>
          <w:bCs/>
          <w:color w:val="74A7A4" w:themeColor="text2"/>
          <w:sz w:val="20"/>
          <w:szCs w:val="22"/>
        </w:rPr>
        <w:t>Community Housing Rent Policy</w:t>
      </w:r>
      <w:r w:rsidRPr="00B04E10">
        <w:rPr>
          <w:color w:val="74A7A4" w:themeColor="text2"/>
          <w:sz w:val="20"/>
          <w:szCs w:val="22"/>
        </w:rPr>
        <w:t xml:space="preserve"> </w:t>
      </w:r>
      <w:r w:rsidRPr="001C139F">
        <w:rPr>
          <w:sz w:val="20"/>
          <w:szCs w:val="22"/>
        </w:rPr>
        <w:t>outlines how rent amounts are set based on the type of housing assistance:</w:t>
      </w:r>
    </w:p>
    <w:tbl>
      <w:tblPr>
        <w:tblStyle w:val="TableGrid"/>
        <w:tblW w:w="10343" w:type="dxa"/>
        <w:tblBorders>
          <w:top w:val="single" w:sz="4" w:space="0" w:color="808080"/>
          <w:left w:val="none" w:sz="0" w:space="0" w:color="auto"/>
          <w:bottom w:val="single" w:sz="4" w:space="0" w:color="808080"/>
          <w:right w:val="none" w:sz="0" w:space="0" w:color="auto"/>
          <w:insideH w:val="single" w:sz="4" w:space="0" w:color="808080"/>
        </w:tblBorders>
        <w:tblLook w:val="04A0" w:firstRow="1" w:lastRow="0" w:firstColumn="1" w:lastColumn="0" w:noHBand="0" w:noVBand="1"/>
      </w:tblPr>
      <w:tblGrid>
        <w:gridCol w:w="5171"/>
        <w:gridCol w:w="5172"/>
      </w:tblGrid>
      <w:tr w:rsidR="001C139F" w:rsidRPr="00A45843" w14:paraId="6186524B" w14:textId="77777777" w:rsidTr="001C139F">
        <w:trPr>
          <w:trHeight w:val="366"/>
        </w:trPr>
        <w:tc>
          <w:tcPr>
            <w:tcW w:w="5171" w:type="dxa"/>
            <w:tcBorders>
              <w:top w:val="single" w:sz="24" w:space="0" w:color="808080"/>
              <w:right w:val="single" w:sz="4" w:space="0" w:color="808080"/>
            </w:tcBorders>
            <w:shd w:val="clear" w:color="auto" w:fill="F0F0F0"/>
            <w:vAlign w:val="center"/>
          </w:tcPr>
          <w:p w14:paraId="339354FF" w14:textId="3FC55E5B" w:rsidR="001C139F" w:rsidRPr="001C139F" w:rsidRDefault="001C139F" w:rsidP="00B876A7">
            <w:pPr>
              <w:pStyle w:val="TableText"/>
              <w:rPr>
                <w:rFonts w:asciiTheme="minorHAnsi" w:hAnsiTheme="minorHAnsi"/>
                <w:b/>
                <w:bCs/>
              </w:rPr>
            </w:pPr>
            <w:r w:rsidRPr="001C139F">
              <w:rPr>
                <w:rFonts w:asciiTheme="minorHAnsi" w:hAnsiTheme="minorHAnsi"/>
                <w:b/>
                <w:bCs/>
              </w:rPr>
              <w:t>Housing Program</w:t>
            </w:r>
          </w:p>
        </w:tc>
        <w:tc>
          <w:tcPr>
            <w:tcW w:w="5172" w:type="dxa"/>
            <w:tcBorders>
              <w:top w:val="single" w:sz="24" w:space="0" w:color="808080"/>
              <w:left w:val="single" w:sz="4" w:space="0" w:color="808080"/>
            </w:tcBorders>
            <w:shd w:val="clear" w:color="auto" w:fill="F0F0F0"/>
            <w:vAlign w:val="center"/>
          </w:tcPr>
          <w:p w14:paraId="1E84A3A2" w14:textId="5062C295" w:rsidR="001C139F" w:rsidRPr="001C139F" w:rsidRDefault="001C139F" w:rsidP="00B876A7">
            <w:pPr>
              <w:pStyle w:val="TableText"/>
              <w:rPr>
                <w:rFonts w:asciiTheme="minorHAnsi" w:hAnsiTheme="minorHAnsi"/>
                <w:b/>
                <w:bCs/>
              </w:rPr>
            </w:pPr>
            <w:r w:rsidRPr="001C139F">
              <w:rPr>
                <w:rFonts w:asciiTheme="minorHAnsi" w:hAnsiTheme="minorHAnsi"/>
                <w:b/>
                <w:bCs/>
              </w:rPr>
              <w:t>Rent model</w:t>
            </w:r>
          </w:p>
        </w:tc>
      </w:tr>
      <w:tr w:rsidR="001C139F" w:rsidRPr="00A45843" w14:paraId="6BF5985D" w14:textId="77777777" w:rsidTr="002254AE">
        <w:trPr>
          <w:trHeight w:val="366"/>
        </w:trPr>
        <w:tc>
          <w:tcPr>
            <w:tcW w:w="5171" w:type="dxa"/>
            <w:tcBorders>
              <w:right w:val="single" w:sz="4" w:space="0" w:color="808080"/>
            </w:tcBorders>
          </w:tcPr>
          <w:p w14:paraId="09655137" w14:textId="5CF7B5C1" w:rsidR="001C139F" w:rsidRPr="002254AE" w:rsidRDefault="001C139F" w:rsidP="002254AE">
            <w:pPr>
              <w:pStyle w:val="TableText"/>
              <w:jc w:val="left"/>
              <w:rPr>
                <w:rFonts w:asciiTheme="minorHAnsi" w:hAnsiTheme="minorHAnsi"/>
                <w:sz w:val="18"/>
                <w:szCs w:val="18"/>
              </w:rPr>
            </w:pPr>
            <w:r w:rsidRPr="002254AE">
              <w:rPr>
                <w:rFonts w:asciiTheme="minorHAnsi" w:hAnsiTheme="minorHAnsi"/>
                <w:sz w:val="18"/>
                <w:szCs w:val="18"/>
              </w:rPr>
              <w:t>Long Term Community Housing</w:t>
            </w:r>
            <w:r w:rsidR="00D717AF">
              <w:rPr>
                <w:rFonts w:asciiTheme="minorHAnsi" w:hAnsiTheme="minorHAnsi"/>
                <w:sz w:val="18"/>
                <w:szCs w:val="18"/>
              </w:rPr>
              <w:t xml:space="preserve"> (LTCH)</w:t>
            </w:r>
          </w:p>
          <w:p w14:paraId="2310A38F" w14:textId="46967AAE" w:rsidR="002254AE" w:rsidRPr="002254AE" w:rsidRDefault="001C139F" w:rsidP="002254AE">
            <w:pPr>
              <w:pStyle w:val="TableText"/>
              <w:jc w:val="left"/>
              <w:rPr>
                <w:rFonts w:asciiTheme="minorHAnsi" w:hAnsiTheme="minorHAnsi"/>
                <w:sz w:val="18"/>
                <w:szCs w:val="18"/>
              </w:rPr>
            </w:pPr>
            <w:r w:rsidRPr="002254AE">
              <w:rPr>
                <w:rFonts w:asciiTheme="minorHAnsi" w:hAnsiTheme="minorHAnsi"/>
                <w:sz w:val="18"/>
                <w:szCs w:val="18"/>
              </w:rPr>
              <w:t>Transitional Housing</w:t>
            </w:r>
            <w:r w:rsidR="002254AE" w:rsidRPr="002254AE">
              <w:rPr>
                <w:rFonts w:asciiTheme="minorHAnsi" w:hAnsiTheme="minorHAnsi"/>
                <w:sz w:val="18"/>
                <w:szCs w:val="18"/>
              </w:rPr>
              <w:t xml:space="preserve"> - Community Rent Scheme</w:t>
            </w:r>
            <w:r w:rsidR="00D717AF">
              <w:rPr>
                <w:rFonts w:asciiTheme="minorHAnsi" w:hAnsiTheme="minorHAnsi"/>
                <w:sz w:val="18"/>
                <w:szCs w:val="18"/>
              </w:rPr>
              <w:t xml:space="preserve"> (CRS)</w:t>
            </w:r>
          </w:p>
          <w:p w14:paraId="790FFC48" w14:textId="1C4868EB" w:rsidR="002254AE" w:rsidRPr="001C139F" w:rsidRDefault="002254AE" w:rsidP="002254AE">
            <w:pPr>
              <w:pStyle w:val="TableText"/>
              <w:jc w:val="left"/>
            </w:pPr>
            <w:r w:rsidRPr="002254AE">
              <w:rPr>
                <w:rFonts w:asciiTheme="minorHAnsi" w:hAnsiTheme="minorHAnsi"/>
                <w:sz w:val="18"/>
                <w:szCs w:val="18"/>
              </w:rPr>
              <w:t>Crisis Accommodation Program</w:t>
            </w:r>
            <w:r w:rsidR="00D717AF">
              <w:rPr>
                <w:rFonts w:asciiTheme="minorHAnsi" w:hAnsiTheme="minorHAnsi"/>
                <w:sz w:val="18"/>
                <w:szCs w:val="18"/>
              </w:rPr>
              <w:t xml:space="preserve"> (CAP)</w:t>
            </w:r>
          </w:p>
        </w:tc>
        <w:tc>
          <w:tcPr>
            <w:tcW w:w="5172" w:type="dxa"/>
            <w:tcBorders>
              <w:left w:val="single" w:sz="4" w:space="0" w:color="808080"/>
            </w:tcBorders>
            <w:vAlign w:val="center"/>
          </w:tcPr>
          <w:p w14:paraId="543AA662" w14:textId="77777777" w:rsidR="002254AE" w:rsidRPr="002254AE" w:rsidRDefault="002254AE" w:rsidP="002254AE">
            <w:pPr>
              <w:pStyle w:val="TableText"/>
              <w:rPr>
                <w:rFonts w:asciiTheme="minorHAnsi" w:hAnsiTheme="minorHAnsi"/>
                <w:sz w:val="18"/>
                <w:szCs w:val="18"/>
              </w:rPr>
            </w:pPr>
            <w:r w:rsidRPr="002254AE">
              <w:rPr>
                <w:rFonts w:asciiTheme="minorHAnsi" w:hAnsiTheme="minorHAnsi"/>
                <w:sz w:val="18"/>
                <w:szCs w:val="18"/>
              </w:rPr>
              <w:t>25% of gross assessable household income, plus any Commonwealth Rent Assistance entitlements (</w:t>
            </w:r>
            <w:r w:rsidRPr="00D717AF">
              <w:rPr>
                <w:rFonts w:asciiTheme="minorHAnsi" w:hAnsiTheme="minorHAnsi"/>
                <w:i/>
                <w:iCs/>
                <w:sz w:val="18"/>
                <w:szCs w:val="18"/>
              </w:rPr>
              <w:t>see note</w:t>
            </w:r>
            <w:r w:rsidRPr="002254AE">
              <w:rPr>
                <w:rFonts w:asciiTheme="minorHAnsi" w:hAnsiTheme="minorHAnsi"/>
                <w:sz w:val="18"/>
                <w:szCs w:val="18"/>
              </w:rPr>
              <w:t>).</w:t>
            </w:r>
          </w:p>
          <w:p w14:paraId="55B06A94" w14:textId="690DE3F4" w:rsidR="001C139F" w:rsidRPr="001C139F" w:rsidRDefault="002254AE" w:rsidP="002254AE">
            <w:pPr>
              <w:pStyle w:val="TableText"/>
              <w:rPr>
                <w:rFonts w:asciiTheme="minorHAnsi" w:hAnsiTheme="minorHAnsi"/>
              </w:rPr>
            </w:pPr>
            <w:r w:rsidRPr="002254AE">
              <w:rPr>
                <w:rFonts w:asciiTheme="minorHAnsi" w:hAnsiTheme="minorHAnsi"/>
                <w:sz w:val="18"/>
                <w:szCs w:val="18"/>
              </w:rPr>
              <w:t>The calculated rent will not exceed the market rent value for the property.</w:t>
            </w:r>
          </w:p>
        </w:tc>
      </w:tr>
      <w:tr w:rsidR="001C139F" w:rsidRPr="00A45843" w14:paraId="3D17BA17" w14:textId="77777777" w:rsidTr="00D717AF">
        <w:trPr>
          <w:trHeight w:val="384"/>
        </w:trPr>
        <w:tc>
          <w:tcPr>
            <w:tcW w:w="5171" w:type="dxa"/>
            <w:tcBorders>
              <w:bottom w:val="single" w:sz="4" w:space="0" w:color="808080"/>
              <w:right w:val="single" w:sz="4" w:space="0" w:color="808080"/>
            </w:tcBorders>
          </w:tcPr>
          <w:p w14:paraId="089849EF" w14:textId="2671D47D" w:rsidR="002254AE" w:rsidRPr="002254AE" w:rsidRDefault="002254AE" w:rsidP="002254AE">
            <w:pPr>
              <w:pStyle w:val="TableText"/>
              <w:jc w:val="left"/>
              <w:rPr>
                <w:rFonts w:asciiTheme="minorHAnsi" w:hAnsiTheme="minorHAnsi"/>
                <w:sz w:val="18"/>
                <w:szCs w:val="18"/>
              </w:rPr>
            </w:pPr>
            <w:r w:rsidRPr="002254AE">
              <w:rPr>
                <w:rFonts w:asciiTheme="minorHAnsi" w:hAnsiTheme="minorHAnsi"/>
                <w:sz w:val="18"/>
                <w:szCs w:val="18"/>
              </w:rPr>
              <w:t>Community Managed Studio Units</w:t>
            </w:r>
            <w:r w:rsidR="00D717AF">
              <w:rPr>
                <w:rFonts w:asciiTheme="minorHAnsi" w:hAnsiTheme="minorHAnsi"/>
                <w:sz w:val="18"/>
                <w:szCs w:val="18"/>
              </w:rPr>
              <w:t xml:space="preserve"> (CMSU)</w:t>
            </w:r>
          </w:p>
          <w:p w14:paraId="47E31781" w14:textId="77777777" w:rsidR="001C139F" w:rsidRPr="001C139F" w:rsidRDefault="001C139F" w:rsidP="002254AE">
            <w:pPr>
              <w:pStyle w:val="TableText"/>
              <w:jc w:val="left"/>
              <w:rPr>
                <w:rFonts w:asciiTheme="minorHAnsi" w:hAnsiTheme="minorHAnsi"/>
              </w:rPr>
            </w:pPr>
          </w:p>
        </w:tc>
        <w:tc>
          <w:tcPr>
            <w:tcW w:w="5172" w:type="dxa"/>
            <w:tcBorders>
              <w:left w:val="single" w:sz="4" w:space="0" w:color="808080"/>
              <w:bottom w:val="single" w:sz="4" w:space="0" w:color="808080"/>
            </w:tcBorders>
            <w:vAlign w:val="center"/>
          </w:tcPr>
          <w:p w14:paraId="027F9EB4" w14:textId="77777777" w:rsidR="002254AE" w:rsidRPr="002254AE" w:rsidRDefault="002254AE" w:rsidP="002254AE">
            <w:pPr>
              <w:pStyle w:val="TableText"/>
              <w:rPr>
                <w:rFonts w:asciiTheme="minorHAnsi" w:hAnsiTheme="minorHAnsi"/>
                <w:sz w:val="18"/>
                <w:szCs w:val="18"/>
              </w:rPr>
            </w:pPr>
            <w:r w:rsidRPr="002254AE">
              <w:rPr>
                <w:rFonts w:asciiTheme="minorHAnsi" w:hAnsiTheme="minorHAnsi"/>
                <w:sz w:val="18"/>
                <w:szCs w:val="18"/>
              </w:rPr>
              <w:t>28% of gross assessable household income, plus any Commonwealth Rent Assistance entitlements (</w:t>
            </w:r>
            <w:r w:rsidRPr="00D717AF">
              <w:rPr>
                <w:rFonts w:asciiTheme="minorHAnsi" w:hAnsiTheme="minorHAnsi"/>
                <w:i/>
                <w:iCs/>
                <w:sz w:val="18"/>
                <w:szCs w:val="18"/>
              </w:rPr>
              <w:t>see note</w:t>
            </w:r>
            <w:r w:rsidRPr="002254AE">
              <w:rPr>
                <w:rFonts w:asciiTheme="minorHAnsi" w:hAnsiTheme="minorHAnsi"/>
                <w:sz w:val="18"/>
                <w:szCs w:val="18"/>
              </w:rPr>
              <w:t>).</w:t>
            </w:r>
          </w:p>
          <w:p w14:paraId="74F8126A" w14:textId="77777777" w:rsidR="002254AE" w:rsidRPr="002254AE" w:rsidRDefault="002254AE" w:rsidP="002254AE">
            <w:pPr>
              <w:pStyle w:val="TableText"/>
              <w:rPr>
                <w:rFonts w:asciiTheme="minorHAnsi" w:hAnsiTheme="minorHAnsi"/>
                <w:sz w:val="18"/>
                <w:szCs w:val="18"/>
              </w:rPr>
            </w:pPr>
            <w:r w:rsidRPr="002254AE">
              <w:rPr>
                <w:rFonts w:asciiTheme="minorHAnsi" w:hAnsiTheme="minorHAnsi"/>
                <w:sz w:val="18"/>
                <w:szCs w:val="18"/>
              </w:rPr>
              <w:t>The additional 3% covers the costs of supplying a fully furnished property, including replacement costs for fair wear and tear.</w:t>
            </w:r>
          </w:p>
          <w:p w14:paraId="1F1328FA" w14:textId="6BE76119" w:rsidR="001C139F" w:rsidRPr="001C139F" w:rsidRDefault="002254AE" w:rsidP="002254AE">
            <w:pPr>
              <w:pStyle w:val="TableText"/>
              <w:rPr>
                <w:rFonts w:asciiTheme="minorHAnsi" w:hAnsiTheme="minorHAnsi"/>
              </w:rPr>
            </w:pPr>
            <w:r w:rsidRPr="002254AE">
              <w:rPr>
                <w:rFonts w:asciiTheme="minorHAnsi" w:hAnsiTheme="minorHAnsi"/>
                <w:sz w:val="18"/>
                <w:szCs w:val="18"/>
              </w:rPr>
              <w:t>The calculated rent will not exceed the market rent value for the property.</w:t>
            </w:r>
          </w:p>
        </w:tc>
      </w:tr>
      <w:tr w:rsidR="002254AE" w:rsidRPr="00A45843" w14:paraId="386F03A2" w14:textId="77777777" w:rsidTr="002254AE">
        <w:trPr>
          <w:trHeight w:val="348"/>
        </w:trPr>
        <w:tc>
          <w:tcPr>
            <w:tcW w:w="5171" w:type="dxa"/>
            <w:vMerge w:val="restart"/>
            <w:tcBorders>
              <w:right w:val="single" w:sz="4" w:space="0" w:color="808080"/>
            </w:tcBorders>
          </w:tcPr>
          <w:p w14:paraId="524AD1D5" w14:textId="2F660AE3" w:rsidR="002254AE" w:rsidRPr="001C139F" w:rsidRDefault="002254AE" w:rsidP="002254AE">
            <w:pPr>
              <w:pStyle w:val="TableText"/>
              <w:jc w:val="left"/>
              <w:rPr>
                <w:rFonts w:asciiTheme="minorHAnsi" w:hAnsiTheme="minorHAnsi"/>
              </w:rPr>
            </w:pPr>
            <w:r w:rsidRPr="002254AE">
              <w:rPr>
                <w:rFonts w:asciiTheme="minorHAnsi" w:hAnsiTheme="minorHAnsi"/>
              </w:rPr>
              <w:t>Affordable Housing</w:t>
            </w:r>
            <w:r w:rsidR="00D717AF">
              <w:rPr>
                <w:rFonts w:asciiTheme="minorHAnsi" w:hAnsiTheme="minorHAnsi"/>
              </w:rPr>
              <w:t xml:space="preserve"> (AH)</w:t>
            </w:r>
          </w:p>
        </w:tc>
        <w:tc>
          <w:tcPr>
            <w:tcW w:w="5172" w:type="dxa"/>
            <w:tcBorders>
              <w:left w:val="single" w:sz="4" w:space="0" w:color="808080"/>
            </w:tcBorders>
            <w:vAlign w:val="center"/>
          </w:tcPr>
          <w:p w14:paraId="0150D962" w14:textId="77777777" w:rsidR="002254AE" w:rsidRPr="002254AE" w:rsidRDefault="002254AE" w:rsidP="002254AE">
            <w:pPr>
              <w:pStyle w:val="TableText"/>
              <w:rPr>
                <w:rFonts w:asciiTheme="minorHAnsi" w:hAnsiTheme="minorHAnsi"/>
                <w:sz w:val="18"/>
                <w:szCs w:val="18"/>
              </w:rPr>
            </w:pPr>
            <w:r w:rsidRPr="002254AE">
              <w:rPr>
                <w:rFonts w:asciiTheme="minorHAnsi" w:hAnsiTheme="minorHAnsi"/>
                <w:sz w:val="18"/>
                <w:szCs w:val="18"/>
              </w:rPr>
              <w:t>Income Based – 30% of gross household income, plus any Commonwealth Rent Assistance entitlements (</w:t>
            </w:r>
            <w:r w:rsidRPr="00D717AF">
              <w:rPr>
                <w:rFonts w:asciiTheme="minorHAnsi" w:hAnsiTheme="minorHAnsi"/>
                <w:i/>
                <w:iCs/>
                <w:sz w:val="18"/>
                <w:szCs w:val="18"/>
              </w:rPr>
              <w:t>see note</w:t>
            </w:r>
            <w:r w:rsidRPr="002254AE">
              <w:rPr>
                <w:rFonts w:asciiTheme="minorHAnsi" w:hAnsiTheme="minorHAnsi"/>
                <w:sz w:val="18"/>
                <w:szCs w:val="18"/>
              </w:rPr>
              <w:t>).</w:t>
            </w:r>
          </w:p>
          <w:p w14:paraId="4A40F11F" w14:textId="15B02C3E" w:rsidR="002254AE" w:rsidRPr="001C139F" w:rsidRDefault="002254AE" w:rsidP="002254AE">
            <w:pPr>
              <w:pStyle w:val="TableText"/>
              <w:rPr>
                <w:rFonts w:asciiTheme="minorHAnsi" w:hAnsiTheme="minorHAnsi"/>
              </w:rPr>
            </w:pPr>
            <w:r w:rsidRPr="002254AE">
              <w:rPr>
                <w:rFonts w:asciiTheme="minorHAnsi" w:hAnsiTheme="minorHAnsi"/>
                <w:sz w:val="18"/>
                <w:szCs w:val="18"/>
              </w:rPr>
              <w:t>The calculated rent will not exceed 74.9% of the market rent value for the property.</w:t>
            </w:r>
          </w:p>
        </w:tc>
      </w:tr>
      <w:tr w:rsidR="002254AE" w:rsidRPr="00A45843" w14:paraId="6003681C" w14:textId="77777777" w:rsidTr="00D717AF">
        <w:trPr>
          <w:trHeight w:val="348"/>
        </w:trPr>
        <w:tc>
          <w:tcPr>
            <w:tcW w:w="5171" w:type="dxa"/>
            <w:vMerge/>
            <w:tcBorders>
              <w:bottom w:val="single" w:sz="24" w:space="0" w:color="808080"/>
              <w:right w:val="single" w:sz="4" w:space="0" w:color="808080"/>
            </w:tcBorders>
          </w:tcPr>
          <w:p w14:paraId="561E7D5F" w14:textId="77777777" w:rsidR="002254AE" w:rsidRPr="002254AE" w:rsidRDefault="002254AE" w:rsidP="002254AE">
            <w:pPr>
              <w:pStyle w:val="TableText"/>
              <w:jc w:val="left"/>
              <w:rPr>
                <w:rFonts w:asciiTheme="minorHAnsi" w:hAnsiTheme="minorHAnsi"/>
              </w:rPr>
            </w:pPr>
          </w:p>
        </w:tc>
        <w:tc>
          <w:tcPr>
            <w:tcW w:w="5172" w:type="dxa"/>
            <w:tcBorders>
              <w:left w:val="single" w:sz="4" w:space="0" w:color="808080"/>
              <w:bottom w:val="single" w:sz="24" w:space="0" w:color="808080"/>
            </w:tcBorders>
            <w:vAlign w:val="center"/>
          </w:tcPr>
          <w:p w14:paraId="78F7D2AA" w14:textId="77777777" w:rsidR="002254AE" w:rsidRPr="002254AE" w:rsidRDefault="002254AE" w:rsidP="002254AE">
            <w:pPr>
              <w:pStyle w:val="TableText"/>
              <w:rPr>
                <w:rFonts w:asciiTheme="minorHAnsi" w:hAnsiTheme="minorHAnsi"/>
                <w:sz w:val="18"/>
                <w:szCs w:val="18"/>
              </w:rPr>
            </w:pPr>
            <w:r w:rsidRPr="002254AE">
              <w:rPr>
                <w:rFonts w:asciiTheme="minorHAnsi" w:hAnsiTheme="minorHAnsi"/>
                <w:sz w:val="18"/>
                <w:szCs w:val="18"/>
              </w:rPr>
              <w:t>Fixed Rent (property based) – 74.9% or less of the property’s market rent value.</w:t>
            </w:r>
          </w:p>
          <w:p w14:paraId="6ABC9740" w14:textId="5659C84E" w:rsidR="002254AE" w:rsidRPr="001C139F" w:rsidRDefault="002254AE" w:rsidP="002254AE">
            <w:pPr>
              <w:pStyle w:val="TableText"/>
              <w:rPr>
                <w:rFonts w:asciiTheme="minorHAnsi" w:hAnsiTheme="minorHAnsi"/>
              </w:rPr>
            </w:pPr>
            <w:r w:rsidRPr="002254AE">
              <w:rPr>
                <w:rFonts w:asciiTheme="minorHAnsi" w:hAnsiTheme="minorHAnsi"/>
                <w:sz w:val="18"/>
                <w:szCs w:val="18"/>
              </w:rPr>
              <w:t>As a guide, affordability is assessed at 30% of gross household income, plus any Commonwealth Rent Assistance entitlements (</w:t>
            </w:r>
            <w:r w:rsidRPr="00D717AF">
              <w:rPr>
                <w:rFonts w:asciiTheme="minorHAnsi" w:hAnsiTheme="minorHAnsi"/>
                <w:i/>
                <w:iCs/>
                <w:sz w:val="18"/>
                <w:szCs w:val="18"/>
              </w:rPr>
              <w:t>see note</w:t>
            </w:r>
            <w:r w:rsidRPr="002254AE">
              <w:rPr>
                <w:rFonts w:asciiTheme="minorHAnsi" w:hAnsiTheme="minorHAnsi"/>
                <w:sz w:val="18"/>
                <w:szCs w:val="18"/>
              </w:rPr>
              <w:t>).</w:t>
            </w:r>
          </w:p>
        </w:tc>
      </w:tr>
    </w:tbl>
    <w:p w14:paraId="058F5C74" w14:textId="77777777" w:rsidR="001C139F" w:rsidRPr="002254AE" w:rsidRDefault="001C139F" w:rsidP="002254AE">
      <w:pPr>
        <w:spacing w:after="0"/>
        <w:rPr>
          <w:sz w:val="6"/>
          <w:szCs w:val="6"/>
        </w:rPr>
      </w:pPr>
    </w:p>
    <w:p w14:paraId="5B04482B" w14:textId="3F7104C3" w:rsidR="002254AE" w:rsidRPr="002254AE" w:rsidRDefault="002254AE" w:rsidP="002254AE">
      <w:pPr>
        <w:pStyle w:val="Note"/>
        <w:rPr>
          <w:b w:val="0"/>
          <w:bCs w:val="0"/>
        </w:rPr>
      </w:pPr>
      <w:r w:rsidRPr="002254AE">
        <w:t>Note:</w:t>
      </w:r>
      <w:r w:rsidRPr="002254AE">
        <w:rPr>
          <w:b w:val="0"/>
          <w:bCs w:val="0"/>
        </w:rPr>
        <w:t xml:space="preserve"> Commonwealth Rent Assistance (CRA) is not considered income and therefore is not assessed as a percentage of income. Instead, the total CRA to which all household members are entitled is added to the rent assessment, regardless of whether they receive the payment or not.</w:t>
      </w:r>
    </w:p>
    <w:p w14:paraId="311E9684" w14:textId="03EA77AD" w:rsidR="002254AE" w:rsidRDefault="002254AE">
      <w:pPr>
        <w:spacing w:after="160" w:line="259" w:lineRule="auto"/>
        <w:jc w:val="left"/>
      </w:pPr>
      <w:r>
        <w:br w:type="page"/>
      </w:r>
      <w:bookmarkStart w:id="0" w:name="_GoBack"/>
      <w:bookmarkEnd w:id="0"/>
    </w:p>
    <w:p w14:paraId="511EC07D" w14:textId="77777777" w:rsidR="002254AE" w:rsidRPr="002254AE" w:rsidRDefault="002254AE" w:rsidP="00D717AF">
      <w:pPr>
        <w:pStyle w:val="Heading2"/>
        <w:spacing w:after="60"/>
        <w:rPr>
          <w:sz w:val="24"/>
          <w:szCs w:val="22"/>
        </w:rPr>
      </w:pPr>
      <w:r w:rsidRPr="002254AE">
        <w:rPr>
          <w:sz w:val="24"/>
          <w:szCs w:val="22"/>
        </w:rPr>
        <w:lastRenderedPageBreak/>
        <w:t>What is Commonwealth Rent Assistance?</w:t>
      </w:r>
    </w:p>
    <w:p w14:paraId="23CB67AF" w14:textId="47B5682B" w:rsidR="002254AE" w:rsidRPr="002254AE" w:rsidRDefault="002254AE" w:rsidP="002254AE">
      <w:pPr>
        <w:pStyle w:val="BodyText1"/>
        <w:rPr>
          <w:sz w:val="20"/>
          <w:szCs w:val="22"/>
        </w:rPr>
      </w:pPr>
      <w:r w:rsidRPr="002254AE">
        <w:rPr>
          <w:sz w:val="20"/>
          <w:szCs w:val="22"/>
        </w:rPr>
        <w:t xml:space="preserve">Commonwealth Rent Assistance (CRA) is a specific payment from Centrelink to help eligible people pay their rent. CRA is paid to people who rent privately or live in community housing and receive a Centrelink benefit. Public housing </w:t>
      </w:r>
      <w:r>
        <w:rPr>
          <w:sz w:val="20"/>
          <w:szCs w:val="22"/>
        </w:rPr>
        <w:t>(Department of Housing)</w:t>
      </w:r>
      <w:r w:rsidRPr="002254AE">
        <w:rPr>
          <w:sz w:val="20"/>
          <w:szCs w:val="22"/>
        </w:rPr>
        <w:t xml:space="preserve"> tenants and people not receiving a Centrelink benefit are not eligible for CRA.</w:t>
      </w:r>
    </w:p>
    <w:p w14:paraId="4D55787E" w14:textId="77777777" w:rsidR="002254AE" w:rsidRPr="002254AE" w:rsidRDefault="002254AE" w:rsidP="002254AE">
      <w:pPr>
        <w:pStyle w:val="BodyText1"/>
        <w:rPr>
          <w:sz w:val="20"/>
          <w:szCs w:val="22"/>
        </w:rPr>
      </w:pPr>
      <w:r w:rsidRPr="002254AE">
        <w:rPr>
          <w:sz w:val="20"/>
          <w:szCs w:val="22"/>
        </w:rPr>
        <w:t>Centrelink will determine the amount of CRA you are entitled to, based on the amount of rent you pay.</w:t>
      </w:r>
    </w:p>
    <w:p w14:paraId="62FC6465" w14:textId="77777777" w:rsidR="002254AE" w:rsidRPr="002254AE" w:rsidRDefault="002254AE" w:rsidP="002254AE">
      <w:pPr>
        <w:pStyle w:val="BodyText1"/>
        <w:rPr>
          <w:sz w:val="20"/>
          <w:szCs w:val="22"/>
        </w:rPr>
      </w:pPr>
      <w:r w:rsidRPr="002254AE">
        <w:rPr>
          <w:sz w:val="20"/>
          <w:szCs w:val="22"/>
        </w:rPr>
        <w:t>It is your responsibility to advise Centrelink of changes to your rent amount. Centrelink may ask you to provide a recent rent statement, a copy of your lease agreement or a letter confirming your current rent amount. You may also be asked to complete a rent certificate.</w:t>
      </w:r>
    </w:p>
    <w:p w14:paraId="07A462BE" w14:textId="66448997" w:rsidR="002254AE" w:rsidRPr="002254AE" w:rsidRDefault="002254AE" w:rsidP="002254AE">
      <w:pPr>
        <w:pStyle w:val="BodyText1"/>
        <w:rPr>
          <w:sz w:val="20"/>
          <w:szCs w:val="22"/>
        </w:rPr>
      </w:pPr>
      <w:r w:rsidRPr="002254AE">
        <w:rPr>
          <w:sz w:val="20"/>
          <w:szCs w:val="22"/>
        </w:rPr>
        <w:t xml:space="preserve">Further information about Commonwealth Rent Assistance is available on Centrelink’s website at </w:t>
      </w:r>
      <w:hyperlink r:id="rId12" w:history="1">
        <w:r w:rsidR="00D717AF">
          <w:rPr>
            <w:rStyle w:val="Hyperlink"/>
            <w:sz w:val="20"/>
            <w:szCs w:val="22"/>
          </w:rPr>
          <w:t>www.servicesaustralia.gov.au</w:t>
        </w:r>
      </w:hyperlink>
      <w:r w:rsidRPr="002254AE">
        <w:rPr>
          <w:sz w:val="20"/>
          <w:szCs w:val="22"/>
        </w:rPr>
        <w:t>.</w:t>
      </w:r>
    </w:p>
    <w:p w14:paraId="0E4F4CB1" w14:textId="77777777" w:rsidR="00D717AF" w:rsidRPr="00D717AF" w:rsidRDefault="00D717AF" w:rsidP="00D717AF">
      <w:pPr>
        <w:pStyle w:val="Heading2"/>
        <w:spacing w:after="60"/>
        <w:rPr>
          <w:sz w:val="24"/>
          <w:szCs w:val="22"/>
        </w:rPr>
      </w:pPr>
      <w:r w:rsidRPr="00D717AF">
        <w:rPr>
          <w:sz w:val="24"/>
          <w:szCs w:val="22"/>
        </w:rPr>
        <w:t>What is market rent?</w:t>
      </w:r>
    </w:p>
    <w:p w14:paraId="133DDC73" w14:textId="77777777" w:rsidR="00D717AF" w:rsidRPr="00D717AF" w:rsidRDefault="00D717AF" w:rsidP="00D717AF">
      <w:pPr>
        <w:pStyle w:val="BodyText1"/>
        <w:rPr>
          <w:sz w:val="20"/>
          <w:szCs w:val="22"/>
        </w:rPr>
      </w:pPr>
      <w:r w:rsidRPr="00D717AF">
        <w:rPr>
          <w:sz w:val="20"/>
          <w:szCs w:val="22"/>
        </w:rPr>
        <w:t>Market rent is the amount a property would be rented for in the private market. We review market rents annually, based on the property’s amenities and location. Your rent assessment report will detail the market rent value for your property.</w:t>
      </w:r>
    </w:p>
    <w:p w14:paraId="2C70E66B" w14:textId="77777777" w:rsidR="00D717AF" w:rsidRPr="00D717AF" w:rsidRDefault="00D717AF" w:rsidP="00D717AF">
      <w:pPr>
        <w:pStyle w:val="Heading2"/>
        <w:spacing w:after="60"/>
        <w:rPr>
          <w:sz w:val="24"/>
          <w:szCs w:val="22"/>
        </w:rPr>
      </w:pPr>
      <w:r w:rsidRPr="00D717AF">
        <w:rPr>
          <w:sz w:val="24"/>
          <w:szCs w:val="22"/>
        </w:rPr>
        <w:t>What is a rent subsidy?</w:t>
      </w:r>
    </w:p>
    <w:p w14:paraId="02446E04" w14:textId="77777777" w:rsidR="00D717AF" w:rsidRPr="00D717AF" w:rsidRDefault="00D717AF" w:rsidP="00D717AF">
      <w:pPr>
        <w:pStyle w:val="BodyText1"/>
        <w:rPr>
          <w:sz w:val="20"/>
          <w:szCs w:val="22"/>
        </w:rPr>
      </w:pPr>
      <w:r w:rsidRPr="00D717AF">
        <w:rPr>
          <w:sz w:val="20"/>
          <w:szCs w:val="22"/>
        </w:rPr>
        <w:t>A rent subsidy is the difference between the calculated rent you are required to pay and the market rent for the property. Community housing tenants must be eligible to receive a rent subsidy and it can be removed if a tenant fails to comply with their tenancy obligations and the requirements of the housing program.</w:t>
      </w:r>
    </w:p>
    <w:p w14:paraId="65121722" w14:textId="77777777" w:rsidR="00D717AF" w:rsidRPr="00D717AF" w:rsidRDefault="00D717AF" w:rsidP="00D717AF">
      <w:pPr>
        <w:pStyle w:val="Heading2"/>
        <w:spacing w:after="60"/>
        <w:rPr>
          <w:sz w:val="24"/>
          <w:szCs w:val="22"/>
        </w:rPr>
      </w:pPr>
      <w:r w:rsidRPr="00D717AF">
        <w:rPr>
          <w:sz w:val="24"/>
          <w:szCs w:val="22"/>
        </w:rPr>
        <w:t>What income is used to assess my rent?</w:t>
      </w:r>
    </w:p>
    <w:p w14:paraId="020E6120" w14:textId="77777777" w:rsidR="00D717AF" w:rsidRPr="00D717AF" w:rsidRDefault="00D717AF" w:rsidP="00D717AF">
      <w:pPr>
        <w:pStyle w:val="BodyText1"/>
        <w:rPr>
          <w:sz w:val="20"/>
          <w:szCs w:val="22"/>
        </w:rPr>
      </w:pPr>
      <w:r w:rsidRPr="00D717AF">
        <w:rPr>
          <w:sz w:val="20"/>
          <w:szCs w:val="22"/>
        </w:rPr>
        <w:t>Rent is calculated based on the assessable income of everyone living in your household. The below table shows the income included in rent assessments for different household members.</w:t>
      </w:r>
    </w:p>
    <w:tbl>
      <w:tblPr>
        <w:tblStyle w:val="TableGrid"/>
        <w:tblW w:w="10343" w:type="dxa"/>
        <w:tblBorders>
          <w:top w:val="single" w:sz="4" w:space="0" w:color="808080"/>
          <w:left w:val="none" w:sz="0" w:space="0" w:color="auto"/>
          <w:bottom w:val="single" w:sz="4" w:space="0" w:color="808080"/>
          <w:right w:val="none" w:sz="0" w:space="0" w:color="auto"/>
          <w:insideH w:val="single" w:sz="4" w:space="0" w:color="808080"/>
        </w:tblBorders>
        <w:tblLook w:val="04A0" w:firstRow="1" w:lastRow="0" w:firstColumn="1" w:lastColumn="0" w:noHBand="0" w:noVBand="1"/>
      </w:tblPr>
      <w:tblGrid>
        <w:gridCol w:w="5171"/>
        <w:gridCol w:w="5172"/>
      </w:tblGrid>
      <w:tr w:rsidR="00D717AF" w:rsidRPr="001C139F" w14:paraId="1418A376" w14:textId="77777777" w:rsidTr="00B876A7">
        <w:trPr>
          <w:trHeight w:val="366"/>
        </w:trPr>
        <w:tc>
          <w:tcPr>
            <w:tcW w:w="5171" w:type="dxa"/>
            <w:tcBorders>
              <w:top w:val="single" w:sz="24" w:space="0" w:color="808080"/>
              <w:right w:val="single" w:sz="4" w:space="0" w:color="808080"/>
            </w:tcBorders>
            <w:shd w:val="clear" w:color="auto" w:fill="F0F0F0"/>
            <w:vAlign w:val="center"/>
          </w:tcPr>
          <w:p w14:paraId="222F9331" w14:textId="2626441E" w:rsidR="00D717AF" w:rsidRPr="001C139F" w:rsidRDefault="00D717AF" w:rsidP="00B876A7">
            <w:pPr>
              <w:pStyle w:val="TableText"/>
              <w:rPr>
                <w:rFonts w:asciiTheme="minorHAnsi" w:hAnsiTheme="minorHAnsi"/>
                <w:b/>
                <w:bCs/>
              </w:rPr>
            </w:pPr>
            <w:r w:rsidRPr="001C139F">
              <w:rPr>
                <w:rFonts w:asciiTheme="minorHAnsi" w:hAnsiTheme="minorHAnsi"/>
                <w:b/>
                <w:bCs/>
              </w:rPr>
              <w:t>Hous</w:t>
            </w:r>
            <w:r>
              <w:rPr>
                <w:rFonts w:asciiTheme="minorHAnsi" w:hAnsiTheme="minorHAnsi"/>
                <w:b/>
                <w:bCs/>
              </w:rPr>
              <w:t>ehold member</w:t>
            </w:r>
          </w:p>
        </w:tc>
        <w:tc>
          <w:tcPr>
            <w:tcW w:w="5172" w:type="dxa"/>
            <w:tcBorders>
              <w:top w:val="single" w:sz="24" w:space="0" w:color="808080"/>
              <w:left w:val="single" w:sz="4" w:space="0" w:color="808080"/>
            </w:tcBorders>
            <w:shd w:val="clear" w:color="auto" w:fill="F0F0F0"/>
            <w:vAlign w:val="center"/>
          </w:tcPr>
          <w:p w14:paraId="162E950C" w14:textId="0D7BE2E5" w:rsidR="00D717AF" w:rsidRPr="001C139F" w:rsidRDefault="00D717AF" w:rsidP="00B876A7">
            <w:pPr>
              <w:pStyle w:val="TableText"/>
              <w:rPr>
                <w:rFonts w:asciiTheme="minorHAnsi" w:hAnsiTheme="minorHAnsi"/>
                <w:b/>
                <w:bCs/>
              </w:rPr>
            </w:pPr>
            <w:r w:rsidRPr="00D717AF">
              <w:rPr>
                <w:rFonts w:asciiTheme="minorHAnsi" w:hAnsiTheme="minorHAnsi"/>
                <w:b/>
                <w:bCs/>
              </w:rPr>
              <w:t>Income included in rent assessment</w:t>
            </w:r>
          </w:p>
        </w:tc>
      </w:tr>
      <w:tr w:rsidR="00D717AF" w:rsidRPr="001C139F" w14:paraId="0FECE2A1" w14:textId="77777777" w:rsidTr="00B876A7">
        <w:trPr>
          <w:trHeight w:val="366"/>
        </w:trPr>
        <w:tc>
          <w:tcPr>
            <w:tcW w:w="5171" w:type="dxa"/>
            <w:vMerge w:val="restart"/>
            <w:tcBorders>
              <w:right w:val="single" w:sz="4" w:space="0" w:color="808080"/>
            </w:tcBorders>
          </w:tcPr>
          <w:p w14:paraId="042086E1" w14:textId="7C7FD3A4" w:rsidR="00D717AF" w:rsidRPr="00B53FE0" w:rsidRDefault="00D717AF" w:rsidP="00B876A7">
            <w:pPr>
              <w:pStyle w:val="TableText"/>
              <w:jc w:val="left"/>
              <w:rPr>
                <w:sz w:val="18"/>
                <w:szCs w:val="18"/>
              </w:rPr>
            </w:pPr>
            <w:r w:rsidRPr="00B53FE0">
              <w:rPr>
                <w:rFonts w:asciiTheme="minorHAnsi" w:hAnsiTheme="minorHAnsi"/>
                <w:sz w:val="18"/>
                <w:szCs w:val="18"/>
              </w:rPr>
              <w:t>Tenant and their spouse</w:t>
            </w:r>
          </w:p>
        </w:tc>
        <w:tc>
          <w:tcPr>
            <w:tcW w:w="5172" w:type="dxa"/>
            <w:tcBorders>
              <w:left w:val="single" w:sz="4" w:space="0" w:color="808080"/>
            </w:tcBorders>
            <w:vAlign w:val="center"/>
          </w:tcPr>
          <w:p w14:paraId="1BB528DA" w14:textId="33A38D07" w:rsidR="00D717AF" w:rsidRPr="00B53FE0" w:rsidRDefault="00D717AF" w:rsidP="00B876A7">
            <w:pPr>
              <w:pStyle w:val="TableText"/>
              <w:rPr>
                <w:rFonts w:asciiTheme="minorHAnsi" w:hAnsiTheme="minorHAnsi"/>
                <w:sz w:val="18"/>
                <w:szCs w:val="18"/>
              </w:rPr>
            </w:pPr>
            <w:r w:rsidRPr="00B53FE0">
              <w:rPr>
                <w:rFonts w:asciiTheme="minorHAnsi" w:hAnsiTheme="minorHAnsi"/>
                <w:sz w:val="18"/>
                <w:szCs w:val="18"/>
              </w:rPr>
              <w:t>All assessable household income assessed at 25% (28% for furnished CMSU properties).</w:t>
            </w:r>
          </w:p>
        </w:tc>
      </w:tr>
      <w:tr w:rsidR="00D717AF" w:rsidRPr="001C139F" w14:paraId="11ECD41B" w14:textId="77777777" w:rsidTr="00B876A7">
        <w:trPr>
          <w:trHeight w:val="366"/>
        </w:trPr>
        <w:tc>
          <w:tcPr>
            <w:tcW w:w="5171" w:type="dxa"/>
            <w:vMerge/>
            <w:tcBorders>
              <w:right w:val="single" w:sz="4" w:space="0" w:color="808080"/>
            </w:tcBorders>
          </w:tcPr>
          <w:p w14:paraId="55DAFACE" w14:textId="77777777" w:rsidR="00D717AF" w:rsidRPr="00B53FE0" w:rsidRDefault="00D717AF" w:rsidP="00B876A7">
            <w:pPr>
              <w:pStyle w:val="TableText"/>
              <w:jc w:val="left"/>
              <w:rPr>
                <w:rFonts w:asciiTheme="minorHAnsi" w:hAnsiTheme="minorHAnsi"/>
                <w:sz w:val="18"/>
                <w:szCs w:val="18"/>
              </w:rPr>
            </w:pPr>
          </w:p>
        </w:tc>
        <w:tc>
          <w:tcPr>
            <w:tcW w:w="5172" w:type="dxa"/>
            <w:tcBorders>
              <w:left w:val="single" w:sz="4" w:space="0" w:color="808080"/>
            </w:tcBorders>
            <w:vAlign w:val="center"/>
          </w:tcPr>
          <w:p w14:paraId="4CD491DE" w14:textId="34D10C12" w:rsidR="00D717AF" w:rsidRPr="00B53FE0" w:rsidRDefault="00D717AF" w:rsidP="00B876A7">
            <w:pPr>
              <w:pStyle w:val="TableText"/>
              <w:rPr>
                <w:rFonts w:asciiTheme="minorHAnsi" w:hAnsiTheme="minorHAnsi"/>
                <w:sz w:val="18"/>
                <w:szCs w:val="18"/>
              </w:rPr>
            </w:pPr>
            <w:r w:rsidRPr="00B53FE0">
              <w:rPr>
                <w:rFonts w:asciiTheme="minorHAnsi" w:hAnsiTheme="minorHAnsi"/>
                <w:sz w:val="18"/>
                <w:szCs w:val="18"/>
              </w:rPr>
              <w:t>Gross household income assessed at 30% for AH.</w:t>
            </w:r>
          </w:p>
        </w:tc>
      </w:tr>
      <w:tr w:rsidR="00D717AF" w:rsidRPr="001C139F" w14:paraId="02E99A7D" w14:textId="77777777" w:rsidTr="00B876A7">
        <w:trPr>
          <w:trHeight w:val="384"/>
        </w:trPr>
        <w:tc>
          <w:tcPr>
            <w:tcW w:w="5171" w:type="dxa"/>
            <w:vMerge w:val="restart"/>
            <w:tcBorders>
              <w:right w:val="single" w:sz="4" w:space="0" w:color="808080"/>
            </w:tcBorders>
          </w:tcPr>
          <w:p w14:paraId="709C4FD2" w14:textId="79A5F1DB" w:rsidR="00D717AF" w:rsidRPr="00B53FE0" w:rsidRDefault="00D717AF" w:rsidP="00B876A7">
            <w:pPr>
              <w:pStyle w:val="TableText"/>
              <w:jc w:val="left"/>
              <w:rPr>
                <w:rFonts w:asciiTheme="minorHAnsi" w:hAnsiTheme="minorHAnsi"/>
                <w:sz w:val="18"/>
                <w:szCs w:val="18"/>
              </w:rPr>
            </w:pPr>
            <w:r w:rsidRPr="00B53FE0">
              <w:rPr>
                <w:rFonts w:asciiTheme="minorHAnsi" w:hAnsiTheme="minorHAnsi"/>
                <w:sz w:val="18"/>
                <w:szCs w:val="18"/>
              </w:rPr>
              <w:t xml:space="preserve">All household members aged 25 and over </w:t>
            </w:r>
          </w:p>
        </w:tc>
        <w:tc>
          <w:tcPr>
            <w:tcW w:w="5172" w:type="dxa"/>
            <w:tcBorders>
              <w:left w:val="single" w:sz="4" w:space="0" w:color="808080"/>
            </w:tcBorders>
            <w:vAlign w:val="center"/>
          </w:tcPr>
          <w:p w14:paraId="446F7508" w14:textId="3E35BA32" w:rsidR="00D717AF" w:rsidRPr="00B53FE0" w:rsidRDefault="00D717AF" w:rsidP="00B876A7">
            <w:pPr>
              <w:pStyle w:val="TableText"/>
              <w:rPr>
                <w:rFonts w:asciiTheme="minorHAnsi" w:hAnsiTheme="minorHAnsi"/>
                <w:sz w:val="18"/>
                <w:szCs w:val="18"/>
              </w:rPr>
            </w:pPr>
            <w:r w:rsidRPr="00B53FE0">
              <w:rPr>
                <w:rFonts w:asciiTheme="minorHAnsi" w:hAnsiTheme="minorHAnsi"/>
                <w:sz w:val="18"/>
                <w:szCs w:val="18"/>
              </w:rPr>
              <w:t>All assessable household income assessed at 25% (28% for furnished CMSU properties).</w:t>
            </w:r>
          </w:p>
        </w:tc>
      </w:tr>
      <w:tr w:rsidR="00D717AF" w:rsidRPr="001C139F" w14:paraId="607EBD61" w14:textId="77777777" w:rsidTr="00D717AF">
        <w:trPr>
          <w:trHeight w:val="384"/>
        </w:trPr>
        <w:tc>
          <w:tcPr>
            <w:tcW w:w="5171" w:type="dxa"/>
            <w:vMerge/>
            <w:tcBorders>
              <w:bottom w:val="single" w:sz="4" w:space="0" w:color="808080"/>
              <w:right w:val="single" w:sz="4" w:space="0" w:color="808080"/>
            </w:tcBorders>
          </w:tcPr>
          <w:p w14:paraId="4B40907F" w14:textId="77777777" w:rsidR="00D717AF" w:rsidRPr="00B53FE0" w:rsidRDefault="00D717AF" w:rsidP="00B876A7">
            <w:pPr>
              <w:pStyle w:val="TableText"/>
              <w:jc w:val="left"/>
              <w:rPr>
                <w:rFonts w:asciiTheme="minorHAnsi" w:hAnsiTheme="minorHAnsi"/>
                <w:sz w:val="18"/>
                <w:szCs w:val="18"/>
              </w:rPr>
            </w:pPr>
          </w:p>
        </w:tc>
        <w:tc>
          <w:tcPr>
            <w:tcW w:w="5172" w:type="dxa"/>
            <w:tcBorders>
              <w:left w:val="single" w:sz="4" w:space="0" w:color="808080"/>
              <w:bottom w:val="single" w:sz="4" w:space="0" w:color="808080"/>
            </w:tcBorders>
            <w:vAlign w:val="center"/>
          </w:tcPr>
          <w:p w14:paraId="06F42D69" w14:textId="392DD6A3" w:rsidR="00D717AF" w:rsidRPr="00B53FE0" w:rsidRDefault="00D717AF" w:rsidP="00B876A7">
            <w:pPr>
              <w:pStyle w:val="TableText"/>
              <w:rPr>
                <w:rFonts w:asciiTheme="minorHAnsi" w:hAnsiTheme="minorHAnsi"/>
                <w:sz w:val="18"/>
                <w:szCs w:val="18"/>
              </w:rPr>
            </w:pPr>
            <w:r w:rsidRPr="00B53FE0">
              <w:rPr>
                <w:rFonts w:asciiTheme="minorHAnsi" w:hAnsiTheme="minorHAnsi"/>
                <w:sz w:val="18"/>
                <w:szCs w:val="18"/>
              </w:rPr>
              <w:t>Gross household income assessed at 30% for AH.</w:t>
            </w:r>
          </w:p>
        </w:tc>
      </w:tr>
      <w:tr w:rsidR="00D717AF" w:rsidRPr="001C139F" w14:paraId="62AA5DA8" w14:textId="77777777" w:rsidTr="00B876A7">
        <w:trPr>
          <w:trHeight w:val="348"/>
        </w:trPr>
        <w:tc>
          <w:tcPr>
            <w:tcW w:w="5171" w:type="dxa"/>
            <w:vMerge w:val="restart"/>
            <w:tcBorders>
              <w:right w:val="single" w:sz="4" w:space="0" w:color="808080"/>
            </w:tcBorders>
          </w:tcPr>
          <w:p w14:paraId="56D85412" w14:textId="17C7F7D2" w:rsidR="00D717AF" w:rsidRPr="00B53FE0" w:rsidRDefault="00D717AF" w:rsidP="00B876A7">
            <w:pPr>
              <w:pStyle w:val="TableText"/>
              <w:jc w:val="left"/>
              <w:rPr>
                <w:rFonts w:asciiTheme="minorHAnsi" w:hAnsiTheme="minorHAnsi"/>
                <w:sz w:val="18"/>
                <w:szCs w:val="18"/>
              </w:rPr>
            </w:pPr>
            <w:r w:rsidRPr="00B53FE0">
              <w:rPr>
                <w:rFonts w:asciiTheme="minorHAnsi" w:hAnsiTheme="minorHAnsi"/>
                <w:sz w:val="18"/>
                <w:szCs w:val="18"/>
              </w:rPr>
              <w:t>All household members aged under 25</w:t>
            </w:r>
          </w:p>
        </w:tc>
        <w:tc>
          <w:tcPr>
            <w:tcW w:w="5172" w:type="dxa"/>
            <w:tcBorders>
              <w:left w:val="single" w:sz="4" w:space="0" w:color="808080"/>
            </w:tcBorders>
            <w:vAlign w:val="center"/>
          </w:tcPr>
          <w:p w14:paraId="1A20A98B" w14:textId="5C34FB09" w:rsidR="00D717AF" w:rsidRPr="00B53FE0" w:rsidRDefault="00D717AF" w:rsidP="00B876A7">
            <w:pPr>
              <w:pStyle w:val="TableText"/>
              <w:rPr>
                <w:rFonts w:asciiTheme="minorHAnsi" w:hAnsiTheme="minorHAnsi"/>
                <w:sz w:val="18"/>
                <w:szCs w:val="18"/>
              </w:rPr>
            </w:pPr>
            <w:r w:rsidRPr="00B53FE0">
              <w:rPr>
                <w:rFonts w:asciiTheme="minorHAnsi" w:hAnsiTheme="minorHAnsi"/>
                <w:sz w:val="18"/>
                <w:szCs w:val="18"/>
              </w:rPr>
              <w:t>All assessable household income* assessed at 25% (28% for furnished CMSU properties).</w:t>
            </w:r>
          </w:p>
          <w:p w14:paraId="549491CE" w14:textId="6E3879CF" w:rsidR="00D717AF" w:rsidRPr="00B53FE0" w:rsidRDefault="00D717AF" w:rsidP="00B876A7">
            <w:pPr>
              <w:pStyle w:val="TableText"/>
              <w:rPr>
                <w:rFonts w:asciiTheme="minorHAnsi" w:hAnsiTheme="minorHAnsi"/>
                <w:sz w:val="18"/>
                <w:szCs w:val="18"/>
              </w:rPr>
            </w:pPr>
            <w:r w:rsidRPr="00B53FE0">
              <w:rPr>
                <w:rFonts w:asciiTheme="minorHAnsi" w:hAnsiTheme="minorHAnsi"/>
                <w:sz w:val="18"/>
                <w:szCs w:val="18"/>
              </w:rPr>
              <w:t xml:space="preserve">*Household members under 25 </w:t>
            </w:r>
            <w:r w:rsidR="00B04E10" w:rsidRPr="00B53FE0">
              <w:rPr>
                <w:rFonts w:asciiTheme="minorHAnsi" w:hAnsiTheme="minorHAnsi"/>
                <w:sz w:val="18"/>
                <w:szCs w:val="18"/>
              </w:rPr>
              <w:t>who</w:t>
            </w:r>
            <w:r w:rsidRPr="00B53FE0">
              <w:rPr>
                <w:rFonts w:asciiTheme="minorHAnsi" w:hAnsiTheme="minorHAnsi"/>
                <w:sz w:val="18"/>
                <w:szCs w:val="18"/>
              </w:rPr>
              <w:t xml:space="preserve"> are</w:t>
            </w:r>
            <w:r w:rsidR="00B04E10" w:rsidRPr="00B53FE0">
              <w:rPr>
                <w:rFonts w:asciiTheme="minorHAnsi" w:hAnsiTheme="minorHAnsi"/>
                <w:sz w:val="18"/>
                <w:szCs w:val="18"/>
              </w:rPr>
              <w:t xml:space="preserve"> working</w:t>
            </w:r>
            <w:r w:rsidRPr="00B53FE0">
              <w:rPr>
                <w:rFonts w:asciiTheme="minorHAnsi" w:hAnsiTheme="minorHAnsi"/>
                <w:sz w:val="18"/>
                <w:szCs w:val="18"/>
              </w:rPr>
              <w:t xml:space="preserve"> will not have their working income assessed.</w:t>
            </w:r>
          </w:p>
        </w:tc>
      </w:tr>
      <w:tr w:rsidR="00D717AF" w:rsidRPr="001C139F" w14:paraId="3B3FE774" w14:textId="77777777" w:rsidTr="00D717AF">
        <w:trPr>
          <w:trHeight w:val="348"/>
        </w:trPr>
        <w:tc>
          <w:tcPr>
            <w:tcW w:w="5171" w:type="dxa"/>
            <w:vMerge/>
            <w:tcBorders>
              <w:bottom w:val="single" w:sz="24" w:space="0" w:color="808080"/>
              <w:right w:val="single" w:sz="4" w:space="0" w:color="808080"/>
            </w:tcBorders>
          </w:tcPr>
          <w:p w14:paraId="3CD7DD5C" w14:textId="77777777" w:rsidR="00D717AF" w:rsidRPr="00B53FE0" w:rsidRDefault="00D717AF" w:rsidP="00B876A7">
            <w:pPr>
              <w:pStyle w:val="TableText"/>
              <w:jc w:val="left"/>
              <w:rPr>
                <w:rFonts w:asciiTheme="minorHAnsi" w:hAnsiTheme="minorHAnsi"/>
                <w:sz w:val="18"/>
                <w:szCs w:val="18"/>
              </w:rPr>
            </w:pPr>
          </w:p>
        </w:tc>
        <w:tc>
          <w:tcPr>
            <w:tcW w:w="5172" w:type="dxa"/>
            <w:tcBorders>
              <w:left w:val="single" w:sz="4" w:space="0" w:color="808080"/>
              <w:bottom w:val="single" w:sz="24" w:space="0" w:color="808080"/>
            </w:tcBorders>
            <w:vAlign w:val="center"/>
          </w:tcPr>
          <w:p w14:paraId="6BA1DA48" w14:textId="2541BF05" w:rsidR="00D717AF" w:rsidRPr="00B53FE0" w:rsidRDefault="00D717AF" w:rsidP="00B876A7">
            <w:pPr>
              <w:pStyle w:val="TableText"/>
              <w:rPr>
                <w:rFonts w:asciiTheme="minorHAnsi" w:hAnsiTheme="minorHAnsi"/>
                <w:sz w:val="18"/>
                <w:szCs w:val="18"/>
              </w:rPr>
            </w:pPr>
            <w:r w:rsidRPr="00B53FE0">
              <w:rPr>
                <w:rFonts w:asciiTheme="minorHAnsi" w:hAnsiTheme="minorHAnsi"/>
                <w:sz w:val="18"/>
                <w:szCs w:val="18"/>
              </w:rPr>
              <w:t>Gross household income assessed at 30% for AH.</w:t>
            </w:r>
          </w:p>
        </w:tc>
      </w:tr>
    </w:tbl>
    <w:p w14:paraId="54FDD5B4" w14:textId="77777777" w:rsidR="001809E2" w:rsidRPr="00D717AF" w:rsidRDefault="001809E2" w:rsidP="00D717AF">
      <w:pPr>
        <w:spacing w:after="0"/>
        <w:rPr>
          <w:sz w:val="6"/>
          <w:szCs w:val="6"/>
          <w:highlight w:val="yellow"/>
        </w:rPr>
      </w:pPr>
    </w:p>
    <w:p w14:paraId="181073CE" w14:textId="77777777" w:rsidR="00D717AF" w:rsidRPr="00D717AF" w:rsidRDefault="00D717AF" w:rsidP="00D717AF">
      <w:pPr>
        <w:pStyle w:val="Heading2"/>
        <w:spacing w:after="60"/>
        <w:rPr>
          <w:sz w:val="24"/>
          <w:szCs w:val="22"/>
        </w:rPr>
      </w:pPr>
      <w:r w:rsidRPr="00D717AF">
        <w:rPr>
          <w:sz w:val="24"/>
          <w:szCs w:val="22"/>
        </w:rPr>
        <w:t>What is assessable income?</w:t>
      </w:r>
    </w:p>
    <w:p w14:paraId="4A375976" w14:textId="77777777" w:rsidR="00D717AF" w:rsidRPr="00D717AF" w:rsidRDefault="00D717AF" w:rsidP="00D717AF">
      <w:pPr>
        <w:pStyle w:val="BodyText1"/>
        <w:rPr>
          <w:sz w:val="20"/>
          <w:szCs w:val="22"/>
        </w:rPr>
      </w:pPr>
      <w:r w:rsidRPr="00D717AF">
        <w:rPr>
          <w:sz w:val="20"/>
          <w:szCs w:val="22"/>
        </w:rPr>
        <w:t>All income types are included in rent assessments for the Affordable Housing Program. All other housing programs, are calculated based on assessable income which, generally includes the household’s primary income sources such as pensions and wages.</w:t>
      </w:r>
    </w:p>
    <w:p w14:paraId="486FE37A" w14:textId="4069B145" w:rsidR="00D717AF" w:rsidRPr="00D717AF" w:rsidRDefault="00D717AF" w:rsidP="00D717AF">
      <w:pPr>
        <w:pStyle w:val="BodyText1"/>
        <w:rPr>
          <w:sz w:val="20"/>
          <w:szCs w:val="22"/>
        </w:rPr>
      </w:pPr>
      <w:r w:rsidRPr="00D717AF">
        <w:rPr>
          <w:sz w:val="20"/>
          <w:szCs w:val="22"/>
        </w:rPr>
        <w:t>Specific purpose payments are usually considered non-assessable, except for Affordable Housing</w:t>
      </w:r>
      <w:r>
        <w:rPr>
          <w:sz w:val="20"/>
          <w:szCs w:val="22"/>
        </w:rPr>
        <w:t xml:space="preserve"> </w:t>
      </w:r>
      <w:r w:rsidRPr="00D717AF">
        <w:rPr>
          <w:sz w:val="20"/>
          <w:szCs w:val="22"/>
        </w:rPr>
        <w:t>calculations. Some non-assessable payments include; Pension Supplement, Pharmaceutical Allowance, Carer’s Allowance and most work allowances.</w:t>
      </w:r>
    </w:p>
    <w:p w14:paraId="6A911A91" w14:textId="6745BFC0" w:rsidR="00D717AF" w:rsidRPr="00D717AF" w:rsidRDefault="00D717AF" w:rsidP="00D717AF">
      <w:pPr>
        <w:pStyle w:val="BodyText1"/>
        <w:rPr>
          <w:sz w:val="20"/>
          <w:szCs w:val="22"/>
        </w:rPr>
      </w:pPr>
      <w:r w:rsidRPr="00D717AF">
        <w:rPr>
          <w:sz w:val="20"/>
          <w:szCs w:val="22"/>
        </w:rPr>
        <w:t>An exhaustive list of assessable and non-assessable incomes is available on the Department of Housing website</w:t>
      </w:r>
      <w:r w:rsidR="00B04E10">
        <w:rPr>
          <w:sz w:val="20"/>
          <w:szCs w:val="22"/>
        </w:rPr>
        <w:t xml:space="preserve"> at </w:t>
      </w:r>
      <w:hyperlink r:id="rId13" w:history="1">
        <w:r w:rsidR="00B04E10" w:rsidRPr="00B55C13">
          <w:rPr>
            <w:rStyle w:val="Hyperlink"/>
            <w:sz w:val="20"/>
            <w:szCs w:val="22"/>
          </w:rPr>
          <w:t>www.housing.qld.gov.au</w:t>
        </w:r>
      </w:hyperlink>
      <w:r w:rsidRPr="00D717AF">
        <w:rPr>
          <w:sz w:val="20"/>
          <w:szCs w:val="22"/>
        </w:rPr>
        <w:t>. Tenants are provided a report to demonstrate how your rent has been assessed and the income that has been used.</w:t>
      </w:r>
    </w:p>
    <w:p w14:paraId="12E12397" w14:textId="77777777" w:rsidR="00D717AF" w:rsidRDefault="00D717AF" w:rsidP="005D25F6">
      <w:pPr>
        <w:rPr>
          <w:highlight w:val="yellow"/>
        </w:rPr>
      </w:pPr>
    </w:p>
    <w:p w14:paraId="7521D8F8" w14:textId="77777777" w:rsidR="00D717AF" w:rsidRPr="00D717AF" w:rsidRDefault="00D717AF" w:rsidP="00D717AF">
      <w:pPr>
        <w:pStyle w:val="Heading2"/>
        <w:spacing w:after="60"/>
        <w:rPr>
          <w:sz w:val="24"/>
          <w:szCs w:val="22"/>
        </w:rPr>
      </w:pPr>
      <w:r w:rsidRPr="00D717AF">
        <w:rPr>
          <w:sz w:val="24"/>
          <w:szCs w:val="22"/>
        </w:rPr>
        <w:lastRenderedPageBreak/>
        <w:t>What if my household circumstances change?</w:t>
      </w:r>
    </w:p>
    <w:p w14:paraId="2E8D8F7E" w14:textId="77777777" w:rsidR="00D717AF" w:rsidRPr="00D717AF" w:rsidRDefault="00D717AF" w:rsidP="00D717AF">
      <w:pPr>
        <w:pStyle w:val="BodyText1"/>
        <w:rPr>
          <w:sz w:val="20"/>
          <w:szCs w:val="22"/>
        </w:rPr>
      </w:pPr>
      <w:r w:rsidRPr="00D717AF">
        <w:rPr>
          <w:sz w:val="20"/>
          <w:szCs w:val="22"/>
        </w:rPr>
        <w:t>It is important to notify us immediately if there is a change in your circumstances which affects your household’s income, in case your rent needs to be adjusted. If your income regularly changes because of casual work, we will average your earnings over a minimum four-week period.</w:t>
      </w:r>
    </w:p>
    <w:p w14:paraId="07C68FBF" w14:textId="77777777" w:rsidR="00D717AF" w:rsidRPr="00D717AF" w:rsidRDefault="00D717AF" w:rsidP="00D717AF">
      <w:pPr>
        <w:pStyle w:val="BodyText1"/>
        <w:rPr>
          <w:sz w:val="20"/>
          <w:szCs w:val="22"/>
        </w:rPr>
      </w:pPr>
      <w:r w:rsidRPr="00D717AF">
        <w:rPr>
          <w:sz w:val="20"/>
          <w:szCs w:val="22"/>
        </w:rPr>
        <w:t>Tenants who fail to notify us of a change to household income, may be committing rental fraud. In these situations, the rent subsidy can be removed and back charged to when the change occurred. To avoid any remedial action in relation to rental fraud, we encourage tenants to keep us informed of any changes to the household (e.g. new household members or a household member starts work).</w:t>
      </w:r>
    </w:p>
    <w:p w14:paraId="01BF705D" w14:textId="77777777" w:rsidR="00D717AF" w:rsidRPr="00D717AF" w:rsidRDefault="00D717AF" w:rsidP="00D717AF">
      <w:pPr>
        <w:pStyle w:val="Heading2"/>
        <w:spacing w:after="60"/>
        <w:rPr>
          <w:sz w:val="24"/>
          <w:szCs w:val="22"/>
        </w:rPr>
      </w:pPr>
      <w:r w:rsidRPr="00D717AF">
        <w:rPr>
          <w:sz w:val="24"/>
          <w:szCs w:val="22"/>
        </w:rPr>
        <w:t>How often will my rent be reviewed?</w:t>
      </w:r>
    </w:p>
    <w:p w14:paraId="28463E35" w14:textId="77777777" w:rsidR="00D717AF" w:rsidRPr="00D717AF" w:rsidRDefault="00D717AF" w:rsidP="00D717AF">
      <w:pPr>
        <w:pStyle w:val="BodyText1"/>
        <w:rPr>
          <w:sz w:val="20"/>
          <w:szCs w:val="22"/>
        </w:rPr>
      </w:pPr>
      <w:r w:rsidRPr="00D717AF">
        <w:rPr>
          <w:sz w:val="20"/>
          <w:szCs w:val="22"/>
        </w:rPr>
        <w:t>We will review your rent and eligibility at least every 12 months and whenever there is a change in your household circumstances. We will notify you in writing when we start the review and you will be required to provide evidence to verify your income and eligibility.</w:t>
      </w:r>
    </w:p>
    <w:p w14:paraId="29CD475B" w14:textId="77777777" w:rsidR="00D717AF" w:rsidRPr="00D717AF" w:rsidRDefault="00D717AF" w:rsidP="00D717AF">
      <w:pPr>
        <w:pStyle w:val="BodyText1"/>
        <w:rPr>
          <w:sz w:val="20"/>
          <w:szCs w:val="22"/>
        </w:rPr>
      </w:pPr>
      <w:r w:rsidRPr="00D717AF">
        <w:rPr>
          <w:sz w:val="20"/>
          <w:szCs w:val="22"/>
        </w:rPr>
        <w:t>Tenants who do not return the requested evidence, will have their rent subsidy removed and issued a notice to leave. This is because a determination will be made that the tenant is no longer eligible for housing assistance, due to failure to substantiate an ongoing eligibility and need for housing assistance.</w:t>
      </w:r>
    </w:p>
    <w:p w14:paraId="43373F35" w14:textId="4C9D90A7" w:rsidR="00D717AF" w:rsidRPr="00D717AF" w:rsidRDefault="00D717AF" w:rsidP="00D717AF">
      <w:pPr>
        <w:pStyle w:val="BodyText1"/>
        <w:rPr>
          <w:sz w:val="20"/>
          <w:szCs w:val="22"/>
        </w:rPr>
      </w:pPr>
      <w:r w:rsidRPr="00D717AF">
        <w:rPr>
          <w:sz w:val="20"/>
          <w:szCs w:val="22"/>
        </w:rPr>
        <w:t xml:space="preserve">If you have difficulties obtaining third party documentation, such as payslips, child support statements, </w:t>
      </w:r>
      <w:r>
        <w:rPr>
          <w:sz w:val="20"/>
          <w:szCs w:val="22"/>
        </w:rPr>
        <w:t>please contact</w:t>
      </w:r>
      <w:r w:rsidRPr="00D717AF">
        <w:rPr>
          <w:sz w:val="20"/>
          <w:szCs w:val="22"/>
        </w:rPr>
        <w:t xml:space="preserve"> your housing officer for assistance.</w:t>
      </w:r>
    </w:p>
    <w:p w14:paraId="04F9F0F9" w14:textId="77777777" w:rsidR="00D717AF" w:rsidRPr="00D717AF" w:rsidRDefault="00D717AF" w:rsidP="00D717AF">
      <w:pPr>
        <w:pStyle w:val="Heading2"/>
        <w:spacing w:after="60"/>
        <w:rPr>
          <w:sz w:val="24"/>
          <w:szCs w:val="22"/>
        </w:rPr>
      </w:pPr>
      <w:r w:rsidRPr="00D717AF">
        <w:rPr>
          <w:sz w:val="24"/>
          <w:szCs w:val="22"/>
        </w:rPr>
        <w:t>Why do I have to answer questions about disabilities or medical conditions?</w:t>
      </w:r>
    </w:p>
    <w:p w14:paraId="039E20AE" w14:textId="77777777" w:rsidR="00D717AF" w:rsidRPr="00D717AF" w:rsidRDefault="00D717AF" w:rsidP="00D717AF">
      <w:pPr>
        <w:pStyle w:val="BodyText1"/>
        <w:rPr>
          <w:sz w:val="20"/>
          <w:szCs w:val="22"/>
        </w:rPr>
      </w:pPr>
      <w:r w:rsidRPr="00D717AF">
        <w:rPr>
          <w:sz w:val="20"/>
          <w:szCs w:val="22"/>
        </w:rPr>
        <w:t>It is important we ensure you are receiving the correct level of housing assistance and that the property you are living in meets your needs. You may have a medical condition or disability that requires ground floor access or modifications to your home. We also need to respond appropriately in an emergency such as an evacuation or natural disaster.</w:t>
      </w:r>
    </w:p>
    <w:p w14:paraId="2C6C611B" w14:textId="77777777" w:rsidR="00D717AF" w:rsidRPr="00D717AF" w:rsidRDefault="00D717AF" w:rsidP="00D717AF">
      <w:pPr>
        <w:pStyle w:val="Heading2"/>
        <w:spacing w:after="60"/>
        <w:rPr>
          <w:sz w:val="24"/>
          <w:szCs w:val="22"/>
        </w:rPr>
      </w:pPr>
      <w:r w:rsidRPr="00D717AF">
        <w:rPr>
          <w:sz w:val="24"/>
          <w:szCs w:val="22"/>
        </w:rPr>
        <w:t>Why do I have to return these documents when you should already have my details?</w:t>
      </w:r>
    </w:p>
    <w:p w14:paraId="54D62246" w14:textId="265F061A" w:rsidR="00D717AF" w:rsidRPr="00D717AF" w:rsidRDefault="00D717AF" w:rsidP="00D717AF">
      <w:pPr>
        <w:pStyle w:val="BodyText1"/>
        <w:rPr>
          <w:sz w:val="20"/>
          <w:szCs w:val="22"/>
        </w:rPr>
      </w:pPr>
      <w:r w:rsidRPr="00D717AF">
        <w:rPr>
          <w:sz w:val="20"/>
          <w:szCs w:val="22"/>
        </w:rPr>
        <w:t xml:space="preserve">It is a legislated requirement for community housing providers to conduct regular rent subsidy and eligibility assessments for all tenants. Even if you have already consented to us obtaining your Centrelink income details, we still require you to answer the assessment questions and provide other evidence such as </w:t>
      </w:r>
      <w:r>
        <w:rPr>
          <w:sz w:val="20"/>
          <w:szCs w:val="22"/>
        </w:rPr>
        <w:t>superannuation</w:t>
      </w:r>
      <w:r w:rsidRPr="00D717AF">
        <w:rPr>
          <w:sz w:val="20"/>
          <w:szCs w:val="22"/>
        </w:rPr>
        <w:t xml:space="preserve"> statements, in case you forget to inform us of other (non-Centrelink) income.</w:t>
      </w:r>
    </w:p>
    <w:p w14:paraId="35EDACA0" w14:textId="77777777" w:rsidR="00D717AF" w:rsidRPr="00D717AF" w:rsidRDefault="00D717AF" w:rsidP="00D717AF">
      <w:pPr>
        <w:pStyle w:val="BodyText1"/>
        <w:rPr>
          <w:sz w:val="20"/>
          <w:szCs w:val="22"/>
        </w:rPr>
      </w:pPr>
      <w:r w:rsidRPr="00D717AF">
        <w:rPr>
          <w:sz w:val="20"/>
          <w:szCs w:val="22"/>
        </w:rPr>
        <w:t>It is also an opportunity for us to gather the most up to date information to ensure you are receiving appropriate housing assistance and to update your contact details.</w:t>
      </w:r>
    </w:p>
    <w:p w14:paraId="6B691B79" w14:textId="77777777" w:rsidR="00D717AF" w:rsidRPr="00D717AF" w:rsidRDefault="00D717AF" w:rsidP="00D717AF">
      <w:pPr>
        <w:pStyle w:val="Heading2"/>
        <w:spacing w:after="60"/>
        <w:rPr>
          <w:sz w:val="24"/>
          <w:szCs w:val="22"/>
        </w:rPr>
      </w:pPr>
      <w:r w:rsidRPr="00D717AF">
        <w:rPr>
          <w:sz w:val="24"/>
          <w:szCs w:val="22"/>
        </w:rPr>
        <w:t>Will a change to my rent affect my rental bond?</w:t>
      </w:r>
    </w:p>
    <w:p w14:paraId="3A4FD98F" w14:textId="77777777" w:rsidR="00D717AF" w:rsidRDefault="00D717AF" w:rsidP="00D717AF">
      <w:pPr>
        <w:pStyle w:val="BodyText1"/>
        <w:rPr>
          <w:sz w:val="20"/>
          <w:szCs w:val="22"/>
        </w:rPr>
      </w:pPr>
      <w:r w:rsidRPr="00D717AF">
        <w:rPr>
          <w:sz w:val="20"/>
          <w:szCs w:val="22"/>
        </w:rPr>
        <w:t>A rental bond is equivalent to four weeks rent and is held in trust by the Residential Tenancies Authority (RTA) during your tenancy. If your rent changes, resulting in a change to your bond, we will adjust the amount. This may result in you having to make a part bond payment, either in a lump sum or in instalments, to make up the difference. We may also request the RTA refund you any amount in excess of what is required.</w:t>
      </w:r>
    </w:p>
    <w:p w14:paraId="5BB6497B" w14:textId="77777777" w:rsidR="00D717AF" w:rsidRPr="00D717AF" w:rsidRDefault="00D717AF" w:rsidP="00D717AF">
      <w:pPr>
        <w:pStyle w:val="Heading2"/>
        <w:spacing w:after="60"/>
        <w:rPr>
          <w:sz w:val="24"/>
          <w:szCs w:val="22"/>
        </w:rPr>
      </w:pPr>
      <w:r w:rsidRPr="00D717AF">
        <w:rPr>
          <w:sz w:val="24"/>
          <w:szCs w:val="22"/>
        </w:rPr>
        <w:t>How often do I need to pay rent?</w:t>
      </w:r>
    </w:p>
    <w:p w14:paraId="7B2DCF5B" w14:textId="77777777" w:rsidR="00D717AF" w:rsidRPr="00D717AF" w:rsidRDefault="00D717AF" w:rsidP="00D717AF">
      <w:pPr>
        <w:pStyle w:val="BodyText1"/>
        <w:rPr>
          <w:sz w:val="20"/>
          <w:szCs w:val="22"/>
        </w:rPr>
      </w:pPr>
      <w:r w:rsidRPr="00D717AF">
        <w:rPr>
          <w:sz w:val="20"/>
          <w:szCs w:val="22"/>
        </w:rPr>
        <w:t>Your tenancy agreement details how often (e.g. weekly or fortnightly) you need to pay your rent. Making irregular payments on different days of the week or constantly changing from weekly to fortnightly is the most common reason tenants fall into rental arrears. It is important to maintain your rent payments on the same day each week or fortnight to avoid falling into arrears.</w:t>
      </w:r>
    </w:p>
    <w:p w14:paraId="15D4B6DA" w14:textId="77777777" w:rsidR="00D717AF" w:rsidRPr="00D717AF" w:rsidRDefault="00D717AF" w:rsidP="00D717AF">
      <w:pPr>
        <w:pStyle w:val="Heading2"/>
        <w:spacing w:after="60"/>
        <w:rPr>
          <w:sz w:val="24"/>
          <w:szCs w:val="22"/>
        </w:rPr>
      </w:pPr>
      <w:r w:rsidRPr="00D717AF">
        <w:rPr>
          <w:sz w:val="24"/>
          <w:szCs w:val="22"/>
        </w:rPr>
        <w:t>How do I make rent payments?</w:t>
      </w:r>
    </w:p>
    <w:p w14:paraId="1C7786DD" w14:textId="77777777" w:rsidR="00D717AF" w:rsidRPr="00D717AF" w:rsidRDefault="00D717AF" w:rsidP="00D717AF">
      <w:pPr>
        <w:pStyle w:val="BodyText1"/>
        <w:rPr>
          <w:sz w:val="20"/>
          <w:szCs w:val="22"/>
        </w:rPr>
      </w:pPr>
      <w:r w:rsidRPr="00D717AF">
        <w:rPr>
          <w:sz w:val="20"/>
          <w:szCs w:val="22"/>
        </w:rPr>
        <w:t>We offer a range of options for making rent payments:</w:t>
      </w:r>
    </w:p>
    <w:p w14:paraId="307D9292" w14:textId="77777777" w:rsidR="00D717AF" w:rsidRPr="002F5B5B" w:rsidRDefault="00D717AF" w:rsidP="00D717AF">
      <w:pPr>
        <w:pStyle w:val="Heading3"/>
        <w:rPr>
          <w:rFonts w:eastAsia="MS Mincho"/>
        </w:rPr>
      </w:pPr>
      <w:r w:rsidRPr="002F5B5B">
        <w:rPr>
          <w:rFonts w:eastAsia="MS Mincho"/>
        </w:rPr>
        <w:t xml:space="preserve">Centrepay </w:t>
      </w:r>
      <w:r w:rsidRPr="002F13ED">
        <w:t>Deductions</w:t>
      </w:r>
    </w:p>
    <w:p w14:paraId="5C6CAD0D" w14:textId="77777777" w:rsidR="00D717AF" w:rsidRPr="002F5B5B" w:rsidRDefault="00D717AF" w:rsidP="00D717AF">
      <w:pPr>
        <w:pStyle w:val="Bullet1"/>
        <w:spacing w:before="0"/>
        <w:ind w:left="1037"/>
        <w:jc w:val="left"/>
      </w:pPr>
      <w:r w:rsidRPr="002F5B5B">
        <w:t>If you receive a Centrelink income, we can arrange a recurring deduction to be paid direct from Centrelink to your rent account (no fee charged for this service).</w:t>
      </w:r>
    </w:p>
    <w:p w14:paraId="5037A689" w14:textId="77777777" w:rsidR="00D717AF" w:rsidRPr="002F5B5B" w:rsidRDefault="00D717AF" w:rsidP="00D717AF">
      <w:pPr>
        <w:pStyle w:val="Heading3"/>
        <w:rPr>
          <w:rFonts w:eastAsia="MS Mincho"/>
        </w:rPr>
      </w:pPr>
      <w:r w:rsidRPr="002F5B5B">
        <w:rPr>
          <w:rFonts w:eastAsia="MS Mincho"/>
        </w:rPr>
        <w:lastRenderedPageBreak/>
        <w:t>Bank Deposit or Internet Banking</w:t>
      </w:r>
    </w:p>
    <w:p w14:paraId="01FCB54F" w14:textId="77777777" w:rsidR="00D717AF" w:rsidRPr="002F5B5B" w:rsidRDefault="00D717AF" w:rsidP="00D717AF">
      <w:pPr>
        <w:pStyle w:val="Bullet1"/>
        <w:spacing w:before="0"/>
        <w:ind w:left="1037"/>
        <w:jc w:val="left"/>
      </w:pPr>
      <w:r w:rsidRPr="002F5B5B">
        <w:t>You can pay your rent over the counter at any Westpac Bank or via internet banking using your tenant reference and our bank account details. It is important to ensure the bank is instructed to use a reference so we can promptly allocate your payment to your tenancy account.</w:t>
      </w:r>
    </w:p>
    <w:p w14:paraId="56C43B84" w14:textId="77777777" w:rsidR="00D717AF" w:rsidRPr="002F5B5B" w:rsidRDefault="00D717AF" w:rsidP="00D717AF">
      <w:pPr>
        <w:pStyle w:val="Heading3"/>
        <w:rPr>
          <w:rFonts w:eastAsia="MS Mincho"/>
        </w:rPr>
      </w:pPr>
      <w:r w:rsidRPr="002F5B5B">
        <w:rPr>
          <w:rFonts w:eastAsia="MS Mincho"/>
        </w:rPr>
        <w:t xml:space="preserve">Direct </w:t>
      </w:r>
      <w:r w:rsidRPr="002F13ED">
        <w:t>Transfer</w:t>
      </w:r>
      <w:r w:rsidRPr="002F5B5B">
        <w:rPr>
          <w:rFonts w:eastAsia="MS Mincho"/>
        </w:rPr>
        <w:t xml:space="preserve"> or Payroll Deduction</w:t>
      </w:r>
    </w:p>
    <w:p w14:paraId="412C0A0D" w14:textId="77777777" w:rsidR="00D717AF" w:rsidRPr="002F5B5B" w:rsidRDefault="00D717AF" w:rsidP="00D717AF">
      <w:pPr>
        <w:pStyle w:val="Bullet1"/>
        <w:spacing w:before="0"/>
        <w:ind w:left="1037"/>
        <w:jc w:val="left"/>
      </w:pPr>
      <w:r w:rsidRPr="002F5B5B">
        <w:t>You can set up an automatic regular transfer from your bank, or with your payroll office, by completing a payment form with your bank or employer. Check with your bank or employer if they charge a fee for this service.</w:t>
      </w:r>
    </w:p>
    <w:p w14:paraId="518A700F" w14:textId="77777777" w:rsidR="00D717AF" w:rsidRPr="00D717AF" w:rsidRDefault="00D717AF" w:rsidP="00D717AF">
      <w:pPr>
        <w:pStyle w:val="BodyText1"/>
        <w:rPr>
          <w:sz w:val="20"/>
          <w:szCs w:val="22"/>
        </w:rPr>
      </w:pPr>
      <w:r w:rsidRPr="00D717AF">
        <w:rPr>
          <w:sz w:val="20"/>
          <w:szCs w:val="22"/>
        </w:rPr>
        <w:t>Please note that staff are not authorised to accept cash or personal cheques in person or at any of our office locations.</w:t>
      </w:r>
    </w:p>
    <w:p w14:paraId="69179CA6" w14:textId="77777777" w:rsidR="00B04E10" w:rsidRPr="00B04E10" w:rsidRDefault="00B04E10" w:rsidP="00B04E10">
      <w:pPr>
        <w:pStyle w:val="Heading2"/>
        <w:spacing w:after="60"/>
        <w:rPr>
          <w:sz w:val="24"/>
          <w:szCs w:val="22"/>
        </w:rPr>
      </w:pPr>
      <w:r w:rsidRPr="00B04E10">
        <w:rPr>
          <w:sz w:val="24"/>
          <w:szCs w:val="22"/>
        </w:rPr>
        <w:t>Where can I get more information?</w:t>
      </w:r>
    </w:p>
    <w:p w14:paraId="49E17820" w14:textId="31887E7B" w:rsidR="00B04E10" w:rsidRPr="00B04E10" w:rsidRDefault="00B04E10" w:rsidP="00B04E10">
      <w:pPr>
        <w:pStyle w:val="BodyText1"/>
        <w:rPr>
          <w:sz w:val="20"/>
          <w:szCs w:val="22"/>
        </w:rPr>
      </w:pPr>
      <w:r w:rsidRPr="00B04E10">
        <w:rPr>
          <w:sz w:val="20"/>
          <w:szCs w:val="22"/>
        </w:rPr>
        <w:t xml:space="preserve">Go to the Department of Housing website </w:t>
      </w:r>
      <w:r>
        <w:rPr>
          <w:sz w:val="20"/>
          <w:szCs w:val="22"/>
        </w:rPr>
        <w:t xml:space="preserve">at </w:t>
      </w:r>
      <w:hyperlink r:id="rId14" w:history="1">
        <w:r w:rsidRPr="00B55C13">
          <w:rPr>
            <w:rStyle w:val="Hyperlink"/>
            <w:sz w:val="20"/>
            <w:szCs w:val="22"/>
          </w:rPr>
          <w:t>www.housing.qld.gov.au</w:t>
        </w:r>
      </w:hyperlink>
      <w:r>
        <w:rPr>
          <w:sz w:val="20"/>
          <w:szCs w:val="22"/>
        </w:rPr>
        <w:t xml:space="preserve"> </w:t>
      </w:r>
      <w:r w:rsidRPr="00B04E10">
        <w:rPr>
          <w:sz w:val="20"/>
          <w:szCs w:val="22"/>
        </w:rPr>
        <w:t xml:space="preserve">to download the </w:t>
      </w:r>
      <w:r w:rsidRPr="00B04E10">
        <w:rPr>
          <w:b/>
          <w:bCs/>
          <w:color w:val="74A7A4" w:themeColor="text2"/>
          <w:sz w:val="20"/>
          <w:szCs w:val="22"/>
        </w:rPr>
        <w:t>Community Housing Rent Policy</w:t>
      </w:r>
      <w:r w:rsidRPr="00B04E10">
        <w:rPr>
          <w:color w:val="74A7A4" w:themeColor="text2"/>
          <w:sz w:val="20"/>
          <w:szCs w:val="22"/>
        </w:rPr>
        <w:t xml:space="preserve"> </w:t>
      </w:r>
      <w:r w:rsidRPr="00B04E10">
        <w:rPr>
          <w:sz w:val="20"/>
          <w:szCs w:val="22"/>
        </w:rPr>
        <w:t>and detailed information about assessable income.</w:t>
      </w:r>
    </w:p>
    <w:p w14:paraId="61737690" w14:textId="75E8FD8D" w:rsidR="008C30CA" w:rsidRPr="00B04E10" w:rsidRDefault="00B04E10" w:rsidP="00B04E10">
      <w:pPr>
        <w:pStyle w:val="BodyText1"/>
        <w:rPr>
          <w:sz w:val="20"/>
          <w:szCs w:val="22"/>
        </w:rPr>
        <w:sectPr w:rsidR="008C30CA" w:rsidRPr="00B04E10" w:rsidSect="001809E2">
          <w:headerReference w:type="default" r:id="rId15"/>
          <w:footerReference w:type="default" r:id="rId16"/>
          <w:headerReference w:type="first" r:id="rId17"/>
          <w:footerReference w:type="first" r:id="rId18"/>
          <w:pgSz w:w="11906" w:h="16838"/>
          <w:pgMar w:top="1616" w:right="720" w:bottom="1134" w:left="720" w:header="714" w:footer="0" w:gutter="0"/>
          <w:cols w:space="708"/>
          <w:titlePg/>
          <w:docGrid w:linePitch="360"/>
        </w:sectPr>
      </w:pPr>
      <w:r w:rsidRPr="00B04E10">
        <w:rPr>
          <w:sz w:val="20"/>
          <w:szCs w:val="22"/>
        </w:rPr>
        <w:t>Always ask your housing officer for assistance if you have any questions or concerns relating to your rent. You also have the right to query or appeal your rent assessment if you feel there is a discrepancy</w:t>
      </w:r>
      <w:r w:rsidR="00CA6826">
        <w:rPr>
          <w:noProof/>
        </w:rPr>
        <w:drawing>
          <wp:anchor distT="0" distB="0" distL="114300" distR="114300" simplePos="0" relativeHeight="251677184" behindDoc="0" locked="0" layoutInCell="1" allowOverlap="1" wp14:anchorId="7ADC26AB" wp14:editId="0653F719">
            <wp:simplePos x="0" y="0"/>
            <wp:positionH relativeFrom="margin">
              <wp:align>right</wp:align>
            </wp:positionH>
            <wp:positionV relativeFrom="page">
              <wp:posOffset>9217025</wp:posOffset>
            </wp:positionV>
            <wp:extent cx="1404000" cy="882000"/>
            <wp:effectExtent l="0" t="0" r="5715" b="0"/>
            <wp:wrapNone/>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4000" cy="88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377B" w:rsidRPr="00C115AD">
        <w:rPr>
          <w:noProof/>
          <w:color w:val="97A196"/>
        </w:rPr>
        <mc:AlternateContent>
          <mc:Choice Requires="wps">
            <w:drawing>
              <wp:anchor distT="0" distB="0" distL="114300" distR="114300" simplePos="0" relativeHeight="251672064" behindDoc="0" locked="0" layoutInCell="1" allowOverlap="1" wp14:anchorId="3A8C8C60" wp14:editId="62BC7D0A">
                <wp:simplePos x="0" y="0"/>
                <wp:positionH relativeFrom="page">
                  <wp:align>right</wp:align>
                </wp:positionH>
                <wp:positionV relativeFrom="page">
                  <wp:posOffset>9125585</wp:posOffset>
                </wp:positionV>
                <wp:extent cx="7559675" cy="1053465"/>
                <wp:effectExtent l="0" t="0" r="3175" b="0"/>
                <wp:wrapNone/>
                <wp:docPr id="1271943823" name="Rectangle 10"/>
                <wp:cNvGraphicFramePr/>
                <a:graphic xmlns:a="http://schemas.openxmlformats.org/drawingml/2006/main">
                  <a:graphicData uri="http://schemas.microsoft.com/office/word/2010/wordprocessingShape">
                    <wps:wsp>
                      <wps:cNvSpPr/>
                      <wps:spPr>
                        <a:xfrm>
                          <a:off x="0" y="0"/>
                          <a:ext cx="7559675" cy="1053465"/>
                        </a:xfrm>
                        <a:prstGeom prst="rect">
                          <a:avLst/>
                        </a:prstGeom>
                        <a:solidFill>
                          <a:srgbClr val="97A196">
                            <a:alpha val="1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0B70056D" id="Rectangle 10" o:spid="_x0000_s1026" style="position:absolute;margin-left:544.05pt;margin-top:718.55pt;width:595.25pt;height:82.95pt;z-index:2516720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" fillcolor="#97a196" stroked="f" strokeweight="1pt">
                <v:fill opacity="6682f"/>
                <w10:wrap anchorx="page" anchory="page"/>
              </v:rect>
            </w:pict>
          </mc:Fallback>
        </mc:AlternateContent>
      </w:r>
      <w:r>
        <w:rPr>
          <w:sz w:val="20"/>
          <w:szCs w:val="22"/>
        </w:rPr>
        <w:t>.</w:t>
      </w:r>
    </w:p>
    <w:p w14:paraId="00390A73" w14:textId="2DCCD8E1" w:rsidR="00E80864" w:rsidRPr="00E80864" w:rsidRDefault="00E80864" w:rsidP="00B04E10">
      <w:pPr>
        <w:pStyle w:val="Picture"/>
        <w:jc w:val="both"/>
        <w:rPr>
          <w:highlight w:val="yellow"/>
        </w:rPr>
      </w:pPr>
    </w:p>
    <w:sectPr w:rsidR="00E80864" w:rsidRPr="00E80864" w:rsidSect="00D86657">
      <w:headerReference w:type="default" r:id="rId20"/>
      <w:headerReference w:type="first" r:id="rId21"/>
      <w:type w:val="continuous"/>
      <w:pgSz w:w="11906" w:h="16838" w:code="9"/>
      <w:pgMar w:top="1616" w:right="720" w:bottom="1134" w:left="720" w:header="71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71553" w14:textId="77777777" w:rsidR="00DF60D4" w:rsidRDefault="00DF60D4" w:rsidP="00EE118B">
      <w:r>
        <w:separator/>
      </w:r>
    </w:p>
    <w:p w14:paraId="4629D45D" w14:textId="77777777" w:rsidR="00DF60D4" w:rsidRDefault="00DF60D4" w:rsidP="00EE118B"/>
  </w:endnote>
  <w:endnote w:type="continuationSeparator" w:id="0">
    <w:p w14:paraId="11ACA954" w14:textId="77777777" w:rsidR="00DF60D4" w:rsidRDefault="00DF60D4" w:rsidP="00EE118B">
      <w:r>
        <w:continuationSeparator/>
      </w:r>
    </w:p>
    <w:p w14:paraId="27E8A554" w14:textId="77777777" w:rsidR="00DF60D4" w:rsidRDefault="00DF60D4" w:rsidP="00EE1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imes New Roman" w:cs="Times New Roman"/>
        <w:sz w:val="16"/>
      </w:rPr>
      <w:id w:val="2020727785"/>
      <w:docPartObj>
        <w:docPartGallery w:val="Page Numbers (Bottom of Page)"/>
        <w:docPartUnique/>
      </w:docPartObj>
    </w:sdtPr>
    <w:sdtEndPr/>
    <w:sdtContent>
      <w:p w14:paraId="6868ADDB" w14:textId="4B173D71" w:rsidR="003D4A29" w:rsidRPr="003328D0" w:rsidRDefault="00E375DD" w:rsidP="00EE118B">
        <w:r w:rsidRPr="005B7A59">
          <w:rPr>
            <w:noProof/>
          </w:rPr>
          <mc:AlternateContent>
            <mc:Choice Requires="wps">
              <w:drawing>
                <wp:anchor distT="0" distB="0" distL="114300" distR="114300" simplePos="0" relativeHeight="251660288" behindDoc="1" locked="0" layoutInCell="1" allowOverlap="1" wp14:anchorId="31D42BD9" wp14:editId="0D026AEE">
                  <wp:simplePos x="0" y="0"/>
                  <wp:positionH relativeFrom="column">
                    <wp:posOffset>-439535</wp:posOffset>
                  </wp:positionH>
                  <wp:positionV relativeFrom="page">
                    <wp:posOffset>10185400</wp:posOffset>
                  </wp:positionV>
                  <wp:extent cx="7560000" cy="540000"/>
                  <wp:effectExtent l="0" t="0" r="3175" b="0"/>
                  <wp:wrapNone/>
                  <wp:docPr id="1114285007" name="Rectangle 7"/>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75A8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413F9EA3" id="Rectangle 7" o:spid="_x0000_s1026" style="position:absolute;margin-left:-34.6pt;margin-top:802pt;width:595.3pt;height: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" fillcolor="#75a8a5" stroked="f" strokeweight="1pt">
                  <w10:wrap anchory="page"/>
                </v:rect>
              </w:pict>
            </mc:Fallback>
          </mc:AlternateContent>
        </w:r>
        <w:r w:rsidR="003D4A29" w:rsidRPr="005B7A59">
          <w:t xml:space="preserve"> </w:t>
        </w:r>
      </w:p>
      <w:p w14:paraId="40070DF0" w14:textId="268311A9" w:rsidR="00AD4446" w:rsidRPr="00E3123C" w:rsidRDefault="00E76BF3" w:rsidP="006841DD">
        <w:pPr>
          <w:pStyle w:val="Footer"/>
          <w:rPr>
            <w:color w:val="000000"/>
          </w:rPr>
        </w:pPr>
        <w:r>
          <w:rPr>
            <w:rFonts w:eastAsiaTheme="minorHAnsi"/>
          </w:rPr>
          <w:fldChar w:fldCharType="begin"/>
        </w:r>
        <w:r>
          <w:rPr>
            <w:rFonts w:eastAsiaTheme="minorHAnsi"/>
          </w:rPr>
          <w:instrText xml:space="preserve"> STYLEREF  "Title linked to footer"  \* MERGEFORMAT </w:instrText>
        </w:r>
        <w:r>
          <w:rPr>
            <w:rFonts w:eastAsiaTheme="minorHAnsi"/>
          </w:rPr>
          <w:fldChar w:fldCharType="separate"/>
        </w:r>
        <w:r w:rsidR="003E57C4">
          <w:rPr>
            <w:rFonts w:eastAsiaTheme="minorHAnsi"/>
            <w:noProof/>
          </w:rPr>
          <w:t>Rent and Eligibility.</w:t>
        </w:r>
        <w:r>
          <w:rPr>
            <w:rFonts w:eastAsiaTheme="minorHAnsi"/>
          </w:rPr>
          <w:fldChar w:fldCharType="end"/>
        </w:r>
        <w:r w:rsidR="003E57C4">
          <w:rPr>
            <w:rFonts w:eastAsiaTheme="minorHAnsi"/>
          </w:rPr>
          <w:t xml:space="preserve"> Version 3.1 as at 5/05/25</w:t>
        </w:r>
        <w:r w:rsidR="00E3123C">
          <w:rPr>
            <w:color w:val="000000"/>
          </w:rPr>
          <w:tab/>
        </w:r>
        <w:r w:rsidR="00E3123C">
          <w:rPr>
            <w:color w:val="000000"/>
          </w:rPr>
          <w:tab/>
        </w:r>
        <w:r w:rsidR="00401EB3" w:rsidRPr="005B7A59">
          <w:tab/>
        </w:r>
        <w:r w:rsidR="001809E2">
          <w:t xml:space="preserve">              </w:t>
        </w:r>
        <w:r w:rsidR="00401EB3" w:rsidRPr="005B7A59">
          <w:t xml:space="preserve"> </w:t>
        </w:r>
        <w:r w:rsidR="003D4A29" w:rsidRPr="005B7A59">
          <w:rPr>
            <w:bCs/>
            <w:lang w:eastAsia="de-DE"/>
          </w:rPr>
          <w:fldChar w:fldCharType="begin"/>
        </w:r>
        <w:r w:rsidR="003D4A29" w:rsidRPr="005B7A59">
          <w:rPr>
            <w:bCs/>
            <w:lang w:eastAsia="de-DE"/>
          </w:rPr>
          <w:instrText xml:space="preserve"> PAGE </w:instrText>
        </w:r>
        <w:r w:rsidR="003D4A29" w:rsidRPr="005B7A59">
          <w:rPr>
            <w:bCs/>
            <w:lang w:eastAsia="de-DE"/>
          </w:rPr>
          <w:fldChar w:fldCharType="separate"/>
        </w:r>
        <w:r w:rsidR="003D4A29" w:rsidRPr="005B7A59">
          <w:rPr>
            <w:bCs/>
            <w:lang w:eastAsia="de-DE"/>
          </w:rPr>
          <w:t>3</w:t>
        </w:r>
        <w:r w:rsidR="003D4A29" w:rsidRPr="005B7A59">
          <w:rPr>
            <w:bCs/>
            <w:lang w:eastAsia="de-DE"/>
          </w:rPr>
          <w:fldChar w:fldCharType="end"/>
        </w:r>
        <w:r w:rsidR="003D4A29" w:rsidRPr="005B7A59">
          <w:rPr>
            <w:lang w:eastAsia="de-DE"/>
          </w:rPr>
          <w:t xml:space="preserve"> of </w:t>
        </w:r>
        <w:r w:rsidR="003D4A29" w:rsidRPr="005B7A59">
          <w:rPr>
            <w:bCs/>
            <w:lang w:eastAsia="de-DE"/>
          </w:rPr>
          <w:fldChar w:fldCharType="begin"/>
        </w:r>
        <w:r w:rsidR="003D4A29" w:rsidRPr="005B7A59">
          <w:rPr>
            <w:bCs/>
            <w:lang w:eastAsia="de-DE"/>
          </w:rPr>
          <w:instrText xml:space="preserve"> NUMPAGES  </w:instrText>
        </w:r>
        <w:r w:rsidR="003D4A29" w:rsidRPr="005B7A59">
          <w:rPr>
            <w:bCs/>
            <w:lang w:eastAsia="de-DE"/>
          </w:rPr>
          <w:fldChar w:fldCharType="separate"/>
        </w:r>
        <w:r w:rsidR="003D4A29" w:rsidRPr="005B7A59">
          <w:rPr>
            <w:bCs/>
            <w:lang w:eastAsia="de-DE"/>
          </w:rPr>
          <w:t>5</w:t>
        </w:r>
        <w:r w:rsidR="003D4A29" w:rsidRPr="005B7A59">
          <w:rPr>
            <w:bCs/>
            <w:lang w:eastAsia="de-D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75625" w14:textId="32B64EA4" w:rsidR="00C02662" w:rsidRDefault="00C02662" w:rsidP="00C02662">
    <w:pPr>
      <w:pStyle w:val="Footer"/>
    </w:pPr>
    <w:r>
      <w:tab/>
    </w:r>
    <w:r w:rsidRPr="006841DD">
      <w:rPr>
        <w:color w:val="000000"/>
      </w:rPr>
      <w:t xml:space="preserve"> </w:t>
    </w:r>
  </w:p>
  <w:p w14:paraId="4E4C563E" w14:textId="016885E7" w:rsidR="00E64C59" w:rsidRPr="00E3123C" w:rsidRDefault="00C02662" w:rsidP="00C02662">
    <w:pPr>
      <w:pStyle w:val="Footer"/>
      <w:tabs>
        <w:tab w:val="clear" w:pos="4513"/>
        <w:tab w:val="clear" w:pos="9026"/>
        <w:tab w:val="left" w:pos="2131"/>
      </w:tabs>
      <w:rPr>
        <w:color w:val="000000"/>
      </w:rPr>
    </w:pPr>
    <w:r w:rsidRPr="003328D0">
      <w:rPr>
        <w:rFonts w:eastAsiaTheme="minorHAnsi"/>
      </w:rPr>
      <w:fldChar w:fldCharType="begin"/>
    </w:r>
    <w:r w:rsidRPr="003328D0">
      <w:rPr>
        <w:rFonts w:eastAsiaTheme="minorHAnsi"/>
      </w:rPr>
      <w:instrText xml:space="preserve"> STYLEREF  "Title linked to footer"  \* MERGEFORMAT </w:instrText>
    </w:r>
    <w:r w:rsidRPr="003328D0">
      <w:rPr>
        <w:rFonts w:eastAsiaTheme="minorHAnsi"/>
      </w:rPr>
      <w:fldChar w:fldCharType="separate"/>
    </w:r>
    <w:r w:rsidR="003E57C4">
      <w:rPr>
        <w:rFonts w:eastAsiaTheme="minorHAnsi"/>
        <w:noProof/>
      </w:rPr>
      <w:t>Rent and Eligibility.</w:t>
    </w:r>
    <w:r w:rsidRPr="003328D0">
      <w:rPr>
        <w:rFonts w:eastAsiaTheme="minorHAnsi"/>
      </w:rPr>
      <w:fldChar w:fldCharType="end"/>
    </w:r>
    <w:r w:rsidR="00AF35D4">
      <w:rPr>
        <w:rFonts w:eastAsiaTheme="minorHAnsi"/>
      </w:rPr>
      <w:t xml:space="preserve"> Version </w:t>
    </w:r>
    <w:r w:rsidR="003E57C4">
      <w:rPr>
        <w:rFonts w:eastAsiaTheme="minorHAnsi"/>
      </w:rPr>
      <w:t>3.1 as at 5/05/25</w:t>
    </w:r>
    <w:r>
      <w:rPr>
        <w:rFonts w:eastAsiaTheme="minorHAnsi"/>
        <w:color w:val="000000"/>
      </w:rPr>
      <w:t xml:space="preserve"> </w:t>
    </w:r>
    <w:r w:rsidR="00D717AF">
      <w:rPr>
        <w:color w:val="000000"/>
      </w:rPr>
      <w:tab/>
    </w:r>
    <w:r w:rsidR="00D717AF">
      <w:rPr>
        <w:color w:val="000000"/>
      </w:rPr>
      <w:tab/>
    </w:r>
    <w:r w:rsidR="00D717AF">
      <w:rPr>
        <w:color w:val="000000"/>
      </w:rPr>
      <w:tab/>
    </w:r>
    <w:r w:rsidR="00D717AF">
      <w:rPr>
        <w:color w:val="000000"/>
      </w:rPr>
      <w:tab/>
    </w:r>
    <w:r w:rsidR="00D717AF">
      <w:rPr>
        <w:color w:val="000000"/>
      </w:rPr>
      <w:tab/>
    </w:r>
    <w:r w:rsidR="00E3123C">
      <w:rPr>
        <w:color w:val="000000"/>
      </w:rPr>
      <w:tab/>
    </w:r>
    <w:r w:rsidR="00E3123C">
      <w:rPr>
        <w:color w:val="000000"/>
      </w:rPr>
      <w:tab/>
    </w:r>
    <w:r w:rsidR="00E3123C">
      <w:rPr>
        <w:color w:val="000000"/>
      </w:rPr>
      <w:tab/>
    </w:r>
    <w:r>
      <w:tab/>
    </w:r>
    <w:r w:rsidRPr="005B7A59">
      <w:rPr>
        <w:bCs/>
        <w:lang w:eastAsia="de-DE"/>
      </w:rPr>
      <w:fldChar w:fldCharType="begin"/>
    </w:r>
    <w:r w:rsidRPr="005B7A59">
      <w:rPr>
        <w:bCs/>
        <w:lang w:eastAsia="de-DE"/>
      </w:rPr>
      <w:instrText xml:space="preserve"> PAGE </w:instrText>
    </w:r>
    <w:r w:rsidRPr="005B7A59">
      <w:rPr>
        <w:bCs/>
        <w:lang w:eastAsia="de-DE"/>
      </w:rPr>
      <w:fldChar w:fldCharType="separate"/>
    </w:r>
    <w:r>
      <w:rPr>
        <w:bCs/>
        <w:lang w:eastAsia="de-DE"/>
      </w:rPr>
      <w:t>2</w:t>
    </w:r>
    <w:r w:rsidRPr="005B7A59">
      <w:rPr>
        <w:bCs/>
        <w:lang w:eastAsia="de-DE"/>
      </w:rPr>
      <w:fldChar w:fldCharType="end"/>
    </w:r>
    <w:r w:rsidRPr="005B7A59">
      <w:rPr>
        <w:lang w:eastAsia="de-DE"/>
      </w:rPr>
      <w:t xml:space="preserve"> of </w:t>
    </w:r>
    <w:r w:rsidRPr="005B7A59">
      <w:rPr>
        <w:bCs/>
        <w:lang w:eastAsia="de-DE"/>
      </w:rPr>
      <w:fldChar w:fldCharType="begin"/>
    </w:r>
    <w:r w:rsidRPr="005B7A59">
      <w:rPr>
        <w:bCs/>
        <w:lang w:eastAsia="de-DE"/>
      </w:rPr>
      <w:instrText xml:space="preserve"> NUMPAGES  </w:instrText>
    </w:r>
    <w:r w:rsidRPr="005B7A59">
      <w:rPr>
        <w:bCs/>
        <w:lang w:eastAsia="de-DE"/>
      </w:rPr>
      <w:fldChar w:fldCharType="separate"/>
    </w:r>
    <w:r>
      <w:rPr>
        <w:bCs/>
        <w:lang w:eastAsia="de-DE"/>
      </w:rPr>
      <w:t>2</w:t>
    </w:r>
    <w:r w:rsidRPr="005B7A59">
      <w:rPr>
        <w:bCs/>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2A94E" w14:textId="77777777" w:rsidR="00DF60D4" w:rsidRDefault="00DF60D4" w:rsidP="00EE118B">
      <w:r>
        <w:separator/>
      </w:r>
    </w:p>
    <w:p w14:paraId="150609C7" w14:textId="77777777" w:rsidR="00DF60D4" w:rsidRDefault="00DF60D4" w:rsidP="00EE118B"/>
  </w:footnote>
  <w:footnote w:type="continuationSeparator" w:id="0">
    <w:p w14:paraId="78496763" w14:textId="77777777" w:rsidR="00DF60D4" w:rsidRDefault="00DF60D4" w:rsidP="00EE118B">
      <w:r>
        <w:continuationSeparator/>
      </w:r>
    </w:p>
    <w:p w14:paraId="33104776" w14:textId="77777777" w:rsidR="00DF60D4" w:rsidRDefault="00DF60D4" w:rsidP="00EE1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AC968" w14:textId="0829EEEC" w:rsidR="00AD4446" w:rsidRDefault="00D717AF" w:rsidP="00FB107C">
    <w:pPr>
      <w:pStyle w:val="Header"/>
    </w:pPr>
    <w:r>
      <w:t>HOUSING SERVICES</w:t>
    </w:r>
    <w:r w:rsidR="00EB089E" w:rsidRPr="00EB089E">
      <w:t xml:space="preserve"> INFORMATION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49E12" w14:textId="7869F343" w:rsidR="00C370BE" w:rsidRPr="00EB089E" w:rsidRDefault="006B0296" w:rsidP="00EE118B">
    <w:pPr>
      <w:pStyle w:val="Header"/>
    </w:pPr>
    <w:r w:rsidRPr="001C139F">
      <w:rPr>
        <w:noProof/>
      </w:rPr>
      <w:drawing>
        <wp:anchor distT="0" distB="0" distL="114300" distR="114300" simplePos="0" relativeHeight="251663360" behindDoc="0" locked="0" layoutInCell="1" allowOverlap="1" wp14:anchorId="1DA56C39" wp14:editId="59BAE6C8">
          <wp:simplePos x="0" y="0"/>
          <wp:positionH relativeFrom="margin">
            <wp:posOffset>5036185</wp:posOffset>
          </wp:positionH>
          <wp:positionV relativeFrom="paragraph">
            <wp:posOffset>-129540</wp:posOffset>
          </wp:positionV>
          <wp:extent cx="1425600" cy="89280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600" cy="89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18B" w:rsidRPr="001C139F">
      <w:rPr>
        <w:noProof/>
      </w:rPr>
      <w:drawing>
        <wp:anchor distT="0" distB="0" distL="114300" distR="114300" simplePos="0" relativeHeight="251657216" behindDoc="0" locked="0" layoutInCell="1" allowOverlap="1" wp14:anchorId="4975360A" wp14:editId="19910DC8">
          <wp:simplePos x="0" y="0"/>
          <wp:positionH relativeFrom="page">
            <wp:align>right</wp:align>
          </wp:positionH>
          <wp:positionV relativeFrom="margin">
            <wp:posOffset>-39243</wp:posOffset>
          </wp:positionV>
          <wp:extent cx="7559458" cy="9229344"/>
          <wp:effectExtent l="0" t="0" r="3810" b="0"/>
          <wp:wrapNone/>
          <wp:docPr id="1373452569" name="Picture 3" descr="A white sheet of paper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25460" name="Picture 3" descr="A white sheet of paper with a black border&#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59458" cy="9229344"/>
                  </a:xfrm>
                  <a:prstGeom prst="rect">
                    <a:avLst/>
                  </a:prstGeom>
                </pic:spPr>
              </pic:pic>
            </a:graphicData>
          </a:graphic>
          <wp14:sizeRelH relativeFrom="margin">
            <wp14:pctWidth>0</wp14:pctWidth>
          </wp14:sizeRelH>
          <wp14:sizeRelV relativeFrom="margin">
            <wp14:pctHeight>0</wp14:pctHeight>
          </wp14:sizeRelV>
        </wp:anchor>
      </w:drawing>
    </w:r>
    <w:r w:rsidR="00EE118B" w:rsidRPr="001C139F">
      <w:rPr>
        <w:noProof/>
      </w:rPr>
      <mc:AlternateContent>
        <mc:Choice Requires="wps">
          <w:drawing>
            <wp:anchor distT="0" distB="0" distL="114300" distR="114300" simplePos="0" relativeHeight="251654144" behindDoc="1" locked="0" layoutInCell="1" allowOverlap="1" wp14:anchorId="37EFAE97" wp14:editId="2B0EDE65">
              <wp:simplePos x="0" y="0"/>
              <wp:positionH relativeFrom="page">
                <wp:align>center</wp:align>
              </wp:positionH>
              <wp:positionV relativeFrom="page">
                <wp:align>center</wp:align>
              </wp:positionV>
              <wp:extent cx="7560000" cy="10735200"/>
              <wp:effectExtent l="0" t="0" r="0" b="0"/>
              <wp:wrapNone/>
              <wp:docPr id="1711737053" name="Rectangle 1"/>
              <wp:cNvGraphicFramePr/>
              <a:graphic xmlns:a="http://schemas.openxmlformats.org/drawingml/2006/main">
                <a:graphicData uri="http://schemas.microsoft.com/office/word/2010/wordprocessingShape">
                  <wps:wsp>
                    <wps:cNvSpPr/>
                    <wps:spPr>
                      <a:xfrm>
                        <a:off x="0" y="0"/>
                        <a:ext cx="7560000" cy="107352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8BC988" w14:textId="76421422" w:rsidR="00C02662" w:rsidRPr="00C02662" w:rsidRDefault="00C02662" w:rsidP="00EE118B">
                          <w:pPr>
                            <w:rPr>
                              <w:bCs/>
                              <w:lang w:eastAsia="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FAE97" id="Rectangle 1" o:spid="_x0000_s1026" style="position:absolute;left:0;text-align:left;margin-left:0;margin-top:0;width:595.3pt;height:845.3pt;z-index:-2516623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" fillcolor="#74a7a4 [3215]" stroked="f" strokeweight="1pt">
              <v:textbox>
                <w:txbxContent>
                  <w:p w14:paraId="768BC988" w14:textId="76421422" w:rsidR="00C02662" w:rsidRPr="00C02662" w:rsidRDefault="00C02662" w:rsidP="00EE118B">
                    <w:pPr>
                      <w:rPr>
                        <w:bCs/>
                        <w:lang w:eastAsia="de-DE"/>
                      </w:rPr>
                    </w:pPr>
                  </w:p>
                </w:txbxContent>
              </v:textbox>
              <w10:wrap anchorx="page" anchory="page"/>
            </v:rect>
          </w:pict>
        </mc:Fallback>
      </mc:AlternateContent>
    </w:r>
    <w:r w:rsidR="001C139F">
      <w:t>HOUSING SERVICES</w:t>
    </w:r>
    <w:r w:rsidR="00EB089E" w:rsidRPr="00EB089E">
      <w:t xml:space="preserve"> </w:t>
    </w:r>
    <w:r w:rsidR="00EB089E" w:rsidRPr="001C139F">
      <w:t>INFORMATION 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CFCFB" w14:textId="77777777" w:rsidR="00E857FA" w:rsidRDefault="00E857FA" w:rsidP="00FB107C">
    <w:pPr>
      <w:pStyle w:val="Header"/>
    </w:pPr>
    <w:r w:rsidRPr="00EB089E">
      <w:rPr>
        <w:highlight w:val="yellow"/>
      </w:rPr>
      <w:t>INSERT SERVICE NAME</w:t>
    </w:r>
    <w:r w:rsidRPr="00EB089E">
      <w:t xml:space="preserve"> INFORMATION SHEET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E118" w14:textId="77777777" w:rsidR="00EE0D3A" w:rsidRPr="00EB089E" w:rsidRDefault="00EE0D3A" w:rsidP="00EE118B">
    <w:pPr>
      <w:pStyle w:val="Header"/>
    </w:pPr>
    <w:r w:rsidRPr="00EB089E">
      <w:rPr>
        <w:noProof/>
      </w:rPr>
      <w:drawing>
        <wp:anchor distT="0" distB="0" distL="114300" distR="114300" simplePos="0" relativeHeight="251665920" behindDoc="0" locked="0" layoutInCell="1" allowOverlap="1" wp14:anchorId="0F534DC2" wp14:editId="09DABEA8">
          <wp:simplePos x="0" y="0"/>
          <wp:positionH relativeFrom="page">
            <wp:align>right</wp:align>
          </wp:positionH>
          <wp:positionV relativeFrom="margin">
            <wp:posOffset>-39243</wp:posOffset>
          </wp:positionV>
          <wp:extent cx="7559458" cy="9229344"/>
          <wp:effectExtent l="0" t="0" r="3810" b="0"/>
          <wp:wrapNone/>
          <wp:docPr id="838872190" name="Picture 3" descr="A white sheet of paper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25460" name="Picture 3" descr="A white sheet of paper with a black border&#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458" cy="9229344"/>
                  </a:xfrm>
                  <a:prstGeom prst="rect">
                    <a:avLst/>
                  </a:prstGeom>
                </pic:spPr>
              </pic:pic>
            </a:graphicData>
          </a:graphic>
          <wp14:sizeRelH relativeFrom="margin">
            <wp14:pctWidth>0</wp14:pctWidth>
          </wp14:sizeRelH>
          <wp14:sizeRelV relativeFrom="margin">
            <wp14:pctHeight>0</wp14:pctHeight>
          </wp14:sizeRelV>
        </wp:anchor>
      </w:drawing>
    </w:r>
    <w:r w:rsidRPr="00EB089E">
      <w:rPr>
        <w:noProof/>
      </w:rPr>
      <mc:AlternateContent>
        <mc:Choice Requires="wps">
          <w:drawing>
            <wp:anchor distT="0" distB="0" distL="114300" distR="114300" simplePos="0" relativeHeight="251664896" behindDoc="1" locked="0" layoutInCell="1" allowOverlap="1" wp14:anchorId="27D0E8D5" wp14:editId="1480F6E4">
              <wp:simplePos x="0" y="0"/>
              <wp:positionH relativeFrom="page">
                <wp:align>center</wp:align>
              </wp:positionH>
              <wp:positionV relativeFrom="page">
                <wp:align>center</wp:align>
              </wp:positionV>
              <wp:extent cx="7560000" cy="10735200"/>
              <wp:effectExtent l="0" t="0" r="0" b="0"/>
              <wp:wrapNone/>
              <wp:docPr id="1044199263" name="Rectangle 1"/>
              <wp:cNvGraphicFramePr/>
              <a:graphic xmlns:a="http://schemas.openxmlformats.org/drawingml/2006/main">
                <a:graphicData uri="http://schemas.microsoft.com/office/word/2010/wordprocessingShape">
                  <wps:wsp>
                    <wps:cNvSpPr/>
                    <wps:spPr>
                      <a:xfrm>
                        <a:off x="0" y="0"/>
                        <a:ext cx="7560000" cy="107352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6AD540" w14:textId="77777777" w:rsidR="00EE0D3A" w:rsidRPr="00C02662" w:rsidRDefault="00EE0D3A" w:rsidP="00EE118B">
                          <w:pPr>
                            <w:rPr>
                              <w:bCs/>
                              <w:lang w:eastAsia="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0E8D5" id="_x0000_s1027" style="position:absolute;left:0;text-align:left;margin-left:0;margin-top:0;width:595.3pt;height:845.3pt;z-index:-2516515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" fillcolor="#74a7a4 [3215]" stroked="f" strokeweight="1pt">
              <v:textbox>
                <w:txbxContent>
                  <w:p w14:paraId="6D6AD540" w14:textId="77777777" w:rsidR="00EE0D3A" w:rsidRPr="00C02662" w:rsidRDefault="00EE0D3A" w:rsidP="00EE118B">
                    <w:pPr>
                      <w:rPr>
                        <w:bCs/>
                        <w:lang w:eastAsia="de-DE"/>
                      </w:rPr>
                    </w:pPr>
                  </w:p>
                </w:txbxContent>
              </v:textbox>
              <w10:wrap anchorx="page" anchory="page"/>
            </v:rect>
          </w:pict>
        </mc:Fallback>
      </mc:AlternateContent>
    </w:r>
    <w:r>
      <w:rPr>
        <w:noProof/>
      </w:rPr>
      <w:drawing>
        <wp:anchor distT="0" distB="0" distL="114300" distR="114300" simplePos="0" relativeHeight="251666944" behindDoc="0" locked="0" layoutInCell="1" allowOverlap="1" wp14:anchorId="328C558E" wp14:editId="4CBB026D">
          <wp:simplePos x="0" y="0"/>
          <wp:positionH relativeFrom="column">
            <wp:posOffset>5027930</wp:posOffset>
          </wp:positionH>
          <wp:positionV relativeFrom="paragraph">
            <wp:posOffset>-174625</wp:posOffset>
          </wp:positionV>
          <wp:extent cx="1515341" cy="801807"/>
          <wp:effectExtent l="0" t="0" r="0" b="0"/>
          <wp:wrapNone/>
          <wp:docPr id="178554879"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50900" name="Picture 6"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15341" cy="801807"/>
                  </a:xfrm>
                  <a:prstGeom prst="rect">
                    <a:avLst/>
                  </a:prstGeom>
                </pic:spPr>
              </pic:pic>
            </a:graphicData>
          </a:graphic>
          <wp14:sizeRelH relativeFrom="page">
            <wp14:pctWidth>0</wp14:pctWidth>
          </wp14:sizeRelH>
          <wp14:sizeRelV relativeFrom="page">
            <wp14:pctHeight>0</wp14:pctHeight>
          </wp14:sizeRelV>
        </wp:anchor>
      </w:drawing>
    </w:r>
    <w:r w:rsidRPr="00EB089E">
      <w:rPr>
        <w:highlight w:val="yellow"/>
      </w:rPr>
      <w:t>INSERT SERVICE NAME</w:t>
    </w:r>
    <w:r w:rsidRPr="00EB089E">
      <w:t xml:space="preserve"> </w:t>
    </w:r>
    <w:r w:rsidRPr="00737647">
      <w:rPr>
        <w:color w:val="FFFEFE" w:themeColor="background1"/>
      </w:rPr>
      <w:t>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8093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436744"/>
    <w:multiLevelType w:val="hybridMultilevel"/>
    <w:tmpl w:val="1F649670"/>
    <w:lvl w:ilvl="0" w:tplc="43DCBAE6">
      <w:start w:val="1"/>
      <w:numFmt w:val="bullet"/>
      <w:lvlText w:val=""/>
      <w:lvlJc w:val="left"/>
      <w:pPr>
        <w:ind w:left="720" w:hanging="360"/>
      </w:pPr>
      <w:rPr>
        <w:rFonts w:ascii="Symbol" w:hAnsi="Symbol" w:hint="default"/>
      </w:rPr>
    </w:lvl>
    <w:lvl w:ilvl="1" w:tplc="B5A06D88" w:tentative="1">
      <w:start w:val="1"/>
      <w:numFmt w:val="bullet"/>
      <w:lvlText w:val="o"/>
      <w:lvlJc w:val="left"/>
      <w:pPr>
        <w:ind w:left="1440" w:hanging="360"/>
      </w:pPr>
      <w:rPr>
        <w:rFonts w:ascii="Courier New" w:hAnsi="Courier New" w:cs="Courier New" w:hint="default"/>
      </w:rPr>
    </w:lvl>
    <w:lvl w:ilvl="2" w:tplc="59B87DC8" w:tentative="1">
      <w:start w:val="1"/>
      <w:numFmt w:val="bullet"/>
      <w:lvlText w:val=""/>
      <w:lvlJc w:val="left"/>
      <w:pPr>
        <w:ind w:left="2160" w:hanging="360"/>
      </w:pPr>
      <w:rPr>
        <w:rFonts w:ascii="Wingdings" w:hAnsi="Wingdings" w:hint="default"/>
      </w:rPr>
    </w:lvl>
    <w:lvl w:ilvl="3" w:tplc="D78EE6CA" w:tentative="1">
      <w:start w:val="1"/>
      <w:numFmt w:val="bullet"/>
      <w:lvlText w:val=""/>
      <w:lvlJc w:val="left"/>
      <w:pPr>
        <w:ind w:left="2880" w:hanging="360"/>
      </w:pPr>
      <w:rPr>
        <w:rFonts w:ascii="Symbol" w:hAnsi="Symbol" w:hint="default"/>
      </w:rPr>
    </w:lvl>
    <w:lvl w:ilvl="4" w:tplc="60065D64" w:tentative="1">
      <w:start w:val="1"/>
      <w:numFmt w:val="bullet"/>
      <w:lvlText w:val="o"/>
      <w:lvlJc w:val="left"/>
      <w:pPr>
        <w:ind w:left="3600" w:hanging="360"/>
      </w:pPr>
      <w:rPr>
        <w:rFonts w:ascii="Courier New" w:hAnsi="Courier New" w:cs="Courier New" w:hint="default"/>
      </w:rPr>
    </w:lvl>
    <w:lvl w:ilvl="5" w:tplc="4E2A07AE" w:tentative="1">
      <w:start w:val="1"/>
      <w:numFmt w:val="bullet"/>
      <w:lvlText w:val=""/>
      <w:lvlJc w:val="left"/>
      <w:pPr>
        <w:ind w:left="4320" w:hanging="360"/>
      </w:pPr>
      <w:rPr>
        <w:rFonts w:ascii="Wingdings" w:hAnsi="Wingdings" w:hint="default"/>
      </w:rPr>
    </w:lvl>
    <w:lvl w:ilvl="6" w:tplc="1652ABAE" w:tentative="1">
      <w:start w:val="1"/>
      <w:numFmt w:val="bullet"/>
      <w:lvlText w:val=""/>
      <w:lvlJc w:val="left"/>
      <w:pPr>
        <w:ind w:left="5040" w:hanging="360"/>
      </w:pPr>
      <w:rPr>
        <w:rFonts w:ascii="Symbol" w:hAnsi="Symbol" w:hint="default"/>
      </w:rPr>
    </w:lvl>
    <w:lvl w:ilvl="7" w:tplc="B6D0E27E" w:tentative="1">
      <w:start w:val="1"/>
      <w:numFmt w:val="bullet"/>
      <w:lvlText w:val="o"/>
      <w:lvlJc w:val="left"/>
      <w:pPr>
        <w:ind w:left="5760" w:hanging="360"/>
      </w:pPr>
      <w:rPr>
        <w:rFonts w:ascii="Courier New" w:hAnsi="Courier New" w:cs="Courier New" w:hint="default"/>
      </w:rPr>
    </w:lvl>
    <w:lvl w:ilvl="8" w:tplc="B5562C08" w:tentative="1">
      <w:start w:val="1"/>
      <w:numFmt w:val="bullet"/>
      <w:lvlText w:val=""/>
      <w:lvlJc w:val="left"/>
      <w:pPr>
        <w:ind w:left="6480" w:hanging="360"/>
      </w:pPr>
      <w:rPr>
        <w:rFonts w:ascii="Wingdings" w:hAnsi="Wingdings" w:hint="default"/>
      </w:rPr>
    </w:lvl>
  </w:abstractNum>
  <w:abstractNum w:abstractNumId="2" w15:restartNumberingAfterBreak="0">
    <w:nsid w:val="1040266B"/>
    <w:multiLevelType w:val="hybridMultilevel"/>
    <w:tmpl w:val="0F3A60A2"/>
    <w:lvl w:ilvl="0" w:tplc="288E49BC">
      <w:start w:val="1"/>
      <w:numFmt w:val="lowerLetter"/>
      <w:pStyle w:val="Paraa"/>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3" w15:restartNumberingAfterBreak="0">
    <w:nsid w:val="269D0CD9"/>
    <w:multiLevelType w:val="hybridMultilevel"/>
    <w:tmpl w:val="1F4E7E6C"/>
    <w:lvl w:ilvl="0" w:tplc="7068D68E">
      <w:start w:val="1"/>
      <w:numFmt w:val="decimal"/>
      <w:pStyle w:val="Step"/>
      <w:lvlText w:val="%1."/>
      <w:lvlJc w:val="left"/>
      <w:pPr>
        <w:tabs>
          <w:tab w:val="num" w:pos="644"/>
        </w:tabs>
        <w:ind w:left="644" w:hanging="360"/>
      </w:pPr>
    </w:lvl>
    <w:lvl w:ilvl="1" w:tplc="818C72AA">
      <w:start w:val="1"/>
      <w:numFmt w:val="lowerLetter"/>
      <w:lvlText w:val="%2."/>
      <w:lvlJc w:val="left"/>
      <w:pPr>
        <w:tabs>
          <w:tab w:val="num" w:pos="1440"/>
        </w:tabs>
        <w:ind w:left="1440" w:hanging="360"/>
      </w:pPr>
    </w:lvl>
    <w:lvl w:ilvl="2" w:tplc="5746B076" w:tentative="1">
      <w:start w:val="1"/>
      <w:numFmt w:val="lowerRoman"/>
      <w:lvlText w:val="%3."/>
      <w:lvlJc w:val="right"/>
      <w:pPr>
        <w:tabs>
          <w:tab w:val="num" w:pos="2160"/>
        </w:tabs>
        <w:ind w:left="2160" w:hanging="180"/>
      </w:pPr>
    </w:lvl>
    <w:lvl w:ilvl="3" w:tplc="5088C2E2" w:tentative="1">
      <w:start w:val="1"/>
      <w:numFmt w:val="decimal"/>
      <w:lvlText w:val="%4."/>
      <w:lvlJc w:val="left"/>
      <w:pPr>
        <w:tabs>
          <w:tab w:val="num" w:pos="2880"/>
        </w:tabs>
        <w:ind w:left="2880" w:hanging="360"/>
      </w:pPr>
    </w:lvl>
    <w:lvl w:ilvl="4" w:tplc="0D2CACFA" w:tentative="1">
      <w:start w:val="1"/>
      <w:numFmt w:val="lowerLetter"/>
      <w:lvlText w:val="%5."/>
      <w:lvlJc w:val="left"/>
      <w:pPr>
        <w:tabs>
          <w:tab w:val="num" w:pos="3600"/>
        </w:tabs>
        <w:ind w:left="3600" w:hanging="360"/>
      </w:pPr>
    </w:lvl>
    <w:lvl w:ilvl="5" w:tplc="A650D4C4" w:tentative="1">
      <w:start w:val="1"/>
      <w:numFmt w:val="lowerRoman"/>
      <w:lvlText w:val="%6."/>
      <w:lvlJc w:val="right"/>
      <w:pPr>
        <w:tabs>
          <w:tab w:val="num" w:pos="4320"/>
        </w:tabs>
        <w:ind w:left="4320" w:hanging="180"/>
      </w:pPr>
    </w:lvl>
    <w:lvl w:ilvl="6" w:tplc="E6944810" w:tentative="1">
      <w:start w:val="1"/>
      <w:numFmt w:val="decimal"/>
      <w:lvlText w:val="%7."/>
      <w:lvlJc w:val="left"/>
      <w:pPr>
        <w:tabs>
          <w:tab w:val="num" w:pos="5040"/>
        </w:tabs>
        <w:ind w:left="5040" w:hanging="360"/>
      </w:pPr>
    </w:lvl>
    <w:lvl w:ilvl="7" w:tplc="189ECF5C" w:tentative="1">
      <w:start w:val="1"/>
      <w:numFmt w:val="lowerLetter"/>
      <w:lvlText w:val="%8."/>
      <w:lvlJc w:val="left"/>
      <w:pPr>
        <w:tabs>
          <w:tab w:val="num" w:pos="5760"/>
        </w:tabs>
        <w:ind w:left="5760" w:hanging="360"/>
      </w:pPr>
    </w:lvl>
    <w:lvl w:ilvl="8" w:tplc="8EF6F64A" w:tentative="1">
      <w:start w:val="1"/>
      <w:numFmt w:val="lowerRoman"/>
      <w:lvlText w:val="%9."/>
      <w:lvlJc w:val="right"/>
      <w:pPr>
        <w:tabs>
          <w:tab w:val="num" w:pos="6480"/>
        </w:tabs>
        <w:ind w:left="6480" w:hanging="180"/>
      </w:pPr>
    </w:lvl>
  </w:abstractNum>
  <w:abstractNum w:abstractNumId="4" w15:restartNumberingAfterBreak="0">
    <w:nsid w:val="36010417"/>
    <w:multiLevelType w:val="hybridMultilevel"/>
    <w:tmpl w:val="28105FBC"/>
    <w:lvl w:ilvl="0" w:tplc="C13E14EE">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11F5261"/>
    <w:multiLevelType w:val="hybridMultilevel"/>
    <w:tmpl w:val="6A8E3156"/>
    <w:lvl w:ilvl="0" w:tplc="7698134C">
      <w:start w:val="1"/>
      <w:numFmt w:val="bullet"/>
      <w:pStyle w:val="Bulletstandard"/>
      <w:lvlText w:val=""/>
      <w:lvlJc w:val="left"/>
      <w:pPr>
        <w:ind w:left="1077" w:hanging="357"/>
      </w:pPr>
      <w:rPr>
        <w:rFonts w:ascii="Symbol" w:hAnsi="Symbol" w:hint="default"/>
      </w:rPr>
    </w:lvl>
    <w:lvl w:ilvl="1" w:tplc="3DAA0752">
      <w:start w:val="1"/>
      <w:numFmt w:val="bullet"/>
      <w:pStyle w:val="Bullet1"/>
      <w:lvlText w:val="―"/>
      <w:lvlJc w:val="left"/>
      <w:pPr>
        <w:ind w:left="2160" w:hanging="360"/>
      </w:pPr>
      <w:rPr>
        <w:rFonts w:ascii="Sylfaen" w:hAnsi="Sylfaen" w:cs="Sylfaen" w:hint="default"/>
      </w:rPr>
    </w:lvl>
    <w:lvl w:ilvl="2" w:tplc="D930B7C4">
      <w:start w:val="1"/>
      <w:numFmt w:val="bullet"/>
      <w:pStyle w:val="Bullet2"/>
      <w:lvlText w:val="o"/>
      <w:lvlJc w:val="left"/>
      <w:pPr>
        <w:ind w:left="2880" w:hanging="360"/>
      </w:pPr>
      <w:rPr>
        <w:rFonts w:ascii="Courier New" w:hAnsi="Courier New" w:cs="Courier New"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161EE75A">
      <w:numFmt w:val="bullet"/>
      <w:lvlText w:val="-"/>
      <w:lvlJc w:val="left"/>
      <w:pPr>
        <w:ind w:left="5040" w:hanging="360"/>
      </w:pPr>
      <w:rPr>
        <w:rFonts w:ascii="Arial" w:eastAsia="MS Mincho" w:hAnsi="Arial" w:cs="Arial"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3884D03"/>
    <w:multiLevelType w:val="hybridMultilevel"/>
    <w:tmpl w:val="A13E6348"/>
    <w:lvl w:ilvl="0" w:tplc="51CC729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805117E"/>
    <w:multiLevelType w:val="hybridMultilevel"/>
    <w:tmpl w:val="646C07AC"/>
    <w:lvl w:ilvl="0" w:tplc="5AA25D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956A61"/>
    <w:multiLevelType w:val="hybridMultilevel"/>
    <w:tmpl w:val="A080CD98"/>
    <w:lvl w:ilvl="0" w:tplc="74CC11E0">
      <w:start w:val="1"/>
      <w:numFmt w:val="lowerRoman"/>
      <w:pStyle w:val="parai"/>
      <w:lvlText w:val="%1)"/>
      <w:lvlJc w:val="right"/>
      <w:pPr>
        <w:ind w:left="1514" w:hanging="360"/>
      </w:pPr>
      <w:rPr>
        <w:rFonts w:hint="default"/>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9" w15:restartNumberingAfterBreak="0">
    <w:nsid w:val="65CD3AD0"/>
    <w:multiLevelType w:val="hybridMultilevel"/>
    <w:tmpl w:val="E38860C2"/>
    <w:lvl w:ilvl="0" w:tplc="5C2427BE">
      <w:start w:val="1"/>
      <w:numFmt w:val="bullet"/>
      <w:pStyle w:val="Bullet3"/>
      <w:lvlText w:val=""/>
      <w:lvlJc w:val="left"/>
      <w:pPr>
        <w:ind w:left="2251" w:hanging="360"/>
      </w:pPr>
      <w:rPr>
        <w:rFonts w:ascii="Symbol" w:hAnsi="Symbol" w:hint="default"/>
      </w:rPr>
    </w:lvl>
    <w:lvl w:ilvl="1" w:tplc="0C090003" w:tentative="1">
      <w:start w:val="1"/>
      <w:numFmt w:val="bullet"/>
      <w:lvlText w:val="o"/>
      <w:lvlJc w:val="left"/>
      <w:pPr>
        <w:ind w:left="2971" w:hanging="360"/>
      </w:pPr>
      <w:rPr>
        <w:rFonts w:ascii="Courier New" w:hAnsi="Courier New" w:cs="Courier New" w:hint="default"/>
      </w:rPr>
    </w:lvl>
    <w:lvl w:ilvl="2" w:tplc="0C090005" w:tentative="1">
      <w:start w:val="1"/>
      <w:numFmt w:val="bullet"/>
      <w:lvlText w:val=""/>
      <w:lvlJc w:val="left"/>
      <w:pPr>
        <w:ind w:left="3691" w:hanging="360"/>
      </w:pPr>
      <w:rPr>
        <w:rFonts w:ascii="Wingdings" w:hAnsi="Wingdings" w:hint="default"/>
      </w:rPr>
    </w:lvl>
    <w:lvl w:ilvl="3" w:tplc="0C090001" w:tentative="1">
      <w:start w:val="1"/>
      <w:numFmt w:val="bullet"/>
      <w:lvlText w:val=""/>
      <w:lvlJc w:val="left"/>
      <w:pPr>
        <w:ind w:left="4411" w:hanging="360"/>
      </w:pPr>
      <w:rPr>
        <w:rFonts w:ascii="Symbol" w:hAnsi="Symbol" w:hint="default"/>
      </w:rPr>
    </w:lvl>
    <w:lvl w:ilvl="4" w:tplc="0C090003" w:tentative="1">
      <w:start w:val="1"/>
      <w:numFmt w:val="bullet"/>
      <w:lvlText w:val="o"/>
      <w:lvlJc w:val="left"/>
      <w:pPr>
        <w:ind w:left="5131" w:hanging="360"/>
      </w:pPr>
      <w:rPr>
        <w:rFonts w:ascii="Courier New" w:hAnsi="Courier New" w:cs="Courier New" w:hint="default"/>
      </w:rPr>
    </w:lvl>
    <w:lvl w:ilvl="5" w:tplc="0C090005" w:tentative="1">
      <w:start w:val="1"/>
      <w:numFmt w:val="bullet"/>
      <w:lvlText w:val=""/>
      <w:lvlJc w:val="left"/>
      <w:pPr>
        <w:ind w:left="5851" w:hanging="360"/>
      </w:pPr>
      <w:rPr>
        <w:rFonts w:ascii="Wingdings" w:hAnsi="Wingdings" w:hint="default"/>
      </w:rPr>
    </w:lvl>
    <w:lvl w:ilvl="6" w:tplc="0C090001" w:tentative="1">
      <w:start w:val="1"/>
      <w:numFmt w:val="bullet"/>
      <w:lvlText w:val=""/>
      <w:lvlJc w:val="left"/>
      <w:pPr>
        <w:ind w:left="6571" w:hanging="360"/>
      </w:pPr>
      <w:rPr>
        <w:rFonts w:ascii="Symbol" w:hAnsi="Symbol" w:hint="default"/>
      </w:rPr>
    </w:lvl>
    <w:lvl w:ilvl="7" w:tplc="0C090003" w:tentative="1">
      <w:start w:val="1"/>
      <w:numFmt w:val="bullet"/>
      <w:lvlText w:val="o"/>
      <w:lvlJc w:val="left"/>
      <w:pPr>
        <w:ind w:left="7291" w:hanging="360"/>
      </w:pPr>
      <w:rPr>
        <w:rFonts w:ascii="Courier New" w:hAnsi="Courier New" w:cs="Courier New" w:hint="default"/>
      </w:rPr>
    </w:lvl>
    <w:lvl w:ilvl="8" w:tplc="0C090005" w:tentative="1">
      <w:start w:val="1"/>
      <w:numFmt w:val="bullet"/>
      <w:lvlText w:val=""/>
      <w:lvlJc w:val="left"/>
      <w:pPr>
        <w:ind w:left="8011" w:hanging="360"/>
      </w:pPr>
      <w:rPr>
        <w:rFonts w:ascii="Wingdings" w:hAnsi="Wingdings" w:hint="default"/>
      </w:rPr>
    </w:lvl>
  </w:abstractNum>
  <w:abstractNum w:abstractNumId="10" w15:restartNumberingAfterBreak="0">
    <w:nsid w:val="794B0A31"/>
    <w:multiLevelType w:val="hybridMultilevel"/>
    <w:tmpl w:val="B6241D6C"/>
    <w:lvl w:ilvl="0" w:tplc="0EBA663A">
      <w:start w:val="1"/>
      <w:numFmt w:val="lowerLetter"/>
      <w:pStyle w:val="paraa0"/>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1" w15:restartNumberingAfterBreak="0">
    <w:nsid w:val="7DC9513A"/>
    <w:multiLevelType w:val="hybridMultilevel"/>
    <w:tmpl w:val="FCC0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num>
  <w:num w:numId="3">
    <w:abstractNumId w:val="0"/>
  </w:num>
  <w:num w:numId="4">
    <w:abstractNumId w:val="4"/>
    <w:lvlOverride w:ilvl="0">
      <w:startOverride w:val="1"/>
    </w:lvlOverride>
  </w:num>
  <w:num w:numId="5">
    <w:abstractNumId w:val="3"/>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5"/>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1"/>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7"/>
  </w:num>
  <w:num w:numId="21">
    <w:abstractNumId w:val="6"/>
  </w:num>
  <w:num w:numId="22">
    <w:abstractNumId w:val="9"/>
  </w:num>
  <w:num w:numId="23">
    <w:abstractNumId w:val="2"/>
  </w:num>
  <w:num w:numId="24">
    <w:abstractNumId w:val="10"/>
  </w:num>
  <w:num w:numId="25">
    <w:abstractNumId w:val="8"/>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F5"/>
    <w:rsid w:val="00015AE5"/>
    <w:rsid w:val="00033955"/>
    <w:rsid w:val="00050DF8"/>
    <w:rsid w:val="000607BD"/>
    <w:rsid w:val="000E6B57"/>
    <w:rsid w:val="000E7EB0"/>
    <w:rsid w:val="001037AB"/>
    <w:rsid w:val="00142F67"/>
    <w:rsid w:val="00155F6E"/>
    <w:rsid w:val="00176ED2"/>
    <w:rsid w:val="001809E2"/>
    <w:rsid w:val="00180B9B"/>
    <w:rsid w:val="00191FAA"/>
    <w:rsid w:val="00193744"/>
    <w:rsid w:val="001B01DD"/>
    <w:rsid w:val="001B4DF5"/>
    <w:rsid w:val="001C139F"/>
    <w:rsid w:val="001D6B4D"/>
    <w:rsid w:val="001F429B"/>
    <w:rsid w:val="001F7340"/>
    <w:rsid w:val="00203BAE"/>
    <w:rsid w:val="0021114C"/>
    <w:rsid w:val="002254AE"/>
    <w:rsid w:val="0022789C"/>
    <w:rsid w:val="00234C24"/>
    <w:rsid w:val="0024009D"/>
    <w:rsid w:val="00283D5D"/>
    <w:rsid w:val="002D7022"/>
    <w:rsid w:val="002E2913"/>
    <w:rsid w:val="003206CC"/>
    <w:rsid w:val="00323796"/>
    <w:rsid w:val="003246E7"/>
    <w:rsid w:val="003328D0"/>
    <w:rsid w:val="00335A76"/>
    <w:rsid w:val="00371142"/>
    <w:rsid w:val="00374355"/>
    <w:rsid w:val="00380AF6"/>
    <w:rsid w:val="00395BAA"/>
    <w:rsid w:val="003B041E"/>
    <w:rsid w:val="003D2D19"/>
    <w:rsid w:val="003D4A29"/>
    <w:rsid w:val="003E57C4"/>
    <w:rsid w:val="003F095D"/>
    <w:rsid w:val="0040032C"/>
    <w:rsid w:val="004010BF"/>
    <w:rsid w:val="00401EB3"/>
    <w:rsid w:val="00405123"/>
    <w:rsid w:val="00427BAD"/>
    <w:rsid w:val="0044507C"/>
    <w:rsid w:val="0045790E"/>
    <w:rsid w:val="00480369"/>
    <w:rsid w:val="004A06C8"/>
    <w:rsid w:val="004A5841"/>
    <w:rsid w:val="004C3C7C"/>
    <w:rsid w:val="004E1C03"/>
    <w:rsid w:val="004E1F75"/>
    <w:rsid w:val="004F3255"/>
    <w:rsid w:val="0051078B"/>
    <w:rsid w:val="00513B7E"/>
    <w:rsid w:val="0052062E"/>
    <w:rsid w:val="00555F89"/>
    <w:rsid w:val="00557936"/>
    <w:rsid w:val="00576D94"/>
    <w:rsid w:val="00581BFE"/>
    <w:rsid w:val="005B7A59"/>
    <w:rsid w:val="005D25F6"/>
    <w:rsid w:val="005E2F6E"/>
    <w:rsid w:val="005E58CD"/>
    <w:rsid w:val="005E70B5"/>
    <w:rsid w:val="006145C1"/>
    <w:rsid w:val="00617962"/>
    <w:rsid w:val="00652D4A"/>
    <w:rsid w:val="00655AE3"/>
    <w:rsid w:val="00662E35"/>
    <w:rsid w:val="00671CA6"/>
    <w:rsid w:val="00682FDE"/>
    <w:rsid w:val="006841DD"/>
    <w:rsid w:val="00686AD4"/>
    <w:rsid w:val="00692BFB"/>
    <w:rsid w:val="006B0296"/>
    <w:rsid w:val="006B4DC5"/>
    <w:rsid w:val="006C1E15"/>
    <w:rsid w:val="00711694"/>
    <w:rsid w:val="007124C3"/>
    <w:rsid w:val="00737647"/>
    <w:rsid w:val="00740D06"/>
    <w:rsid w:val="00761417"/>
    <w:rsid w:val="00771767"/>
    <w:rsid w:val="00783FF3"/>
    <w:rsid w:val="00785C3C"/>
    <w:rsid w:val="007A3BAE"/>
    <w:rsid w:val="007B047C"/>
    <w:rsid w:val="007B2F39"/>
    <w:rsid w:val="007B6C5F"/>
    <w:rsid w:val="007D2077"/>
    <w:rsid w:val="007E50B6"/>
    <w:rsid w:val="007F35D8"/>
    <w:rsid w:val="0081292E"/>
    <w:rsid w:val="008162C4"/>
    <w:rsid w:val="0084059E"/>
    <w:rsid w:val="008416A1"/>
    <w:rsid w:val="008670E2"/>
    <w:rsid w:val="008C0007"/>
    <w:rsid w:val="008C30CA"/>
    <w:rsid w:val="008C5579"/>
    <w:rsid w:val="008E3840"/>
    <w:rsid w:val="008E386F"/>
    <w:rsid w:val="008E3962"/>
    <w:rsid w:val="00901FEC"/>
    <w:rsid w:val="0090697F"/>
    <w:rsid w:val="00921995"/>
    <w:rsid w:val="00927196"/>
    <w:rsid w:val="00937852"/>
    <w:rsid w:val="00942922"/>
    <w:rsid w:val="00952E95"/>
    <w:rsid w:val="0097069C"/>
    <w:rsid w:val="009A39F8"/>
    <w:rsid w:val="009A55FF"/>
    <w:rsid w:val="009E306B"/>
    <w:rsid w:val="00A32C42"/>
    <w:rsid w:val="00A45843"/>
    <w:rsid w:val="00A50FED"/>
    <w:rsid w:val="00A52083"/>
    <w:rsid w:val="00A63816"/>
    <w:rsid w:val="00A84ED7"/>
    <w:rsid w:val="00A92773"/>
    <w:rsid w:val="00A9391E"/>
    <w:rsid w:val="00A94B2D"/>
    <w:rsid w:val="00A95320"/>
    <w:rsid w:val="00AA0A46"/>
    <w:rsid w:val="00AA691F"/>
    <w:rsid w:val="00AD4446"/>
    <w:rsid w:val="00AD46A4"/>
    <w:rsid w:val="00AE6624"/>
    <w:rsid w:val="00AF35D4"/>
    <w:rsid w:val="00B04E10"/>
    <w:rsid w:val="00B05D7A"/>
    <w:rsid w:val="00B53FE0"/>
    <w:rsid w:val="00B671B2"/>
    <w:rsid w:val="00B7041B"/>
    <w:rsid w:val="00B74B45"/>
    <w:rsid w:val="00BA7905"/>
    <w:rsid w:val="00BC0608"/>
    <w:rsid w:val="00BC301E"/>
    <w:rsid w:val="00BC5A36"/>
    <w:rsid w:val="00BE116D"/>
    <w:rsid w:val="00BE2689"/>
    <w:rsid w:val="00C02662"/>
    <w:rsid w:val="00C1040F"/>
    <w:rsid w:val="00C10D9D"/>
    <w:rsid w:val="00C115E7"/>
    <w:rsid w:val="00C22D24"/>
    <w:rsid w:val="00C370BE"/>
    <w:rsid w:val="00C647C7"/>
    <w:rsid w:val="00C92365"/>
    <w:rsid w:val="00C962A4"/>
    <w:rsid w:val="00CA06CA"/>
    <w:rsid w:val="00CA6826"/>
    <w:rsid w:val="00CB514E"/>
    <w:rsid w:val="00CC06C3"/>
    <w:rsid w:val="00CC22FC"/>
    <w:rsid w:val="00CD3F1D"/>
    <w:rsid w:val="00D01356"/>
    <w:rsid w:val="00D10239"/>
    <w:rsid w:val="00D2710E"/>
    <w:rsid w:val="00D50387"/>
    <w:rsid w:val="00D51201"/>
    <w:rsid w:val="00D717AF"/>
    <w:rsid w:val="00D766F6"/>
    <w:rsid w:val="00D80A77"/>
    <w:rsid w:val="00D86657"/>
    <w:rsid w:val="00D97C44"/>
    <w:rsid w:val="00DC0707"/>
    <w:rsid w:val="00DE628F"/>
    <w:rsid w:val="00DF60D4"/>
    <w:rsid w:val="00E2053F"/>
    <w:rsid w:val="00E3123C"/>
    <w:rsid w:val="00E32A75"/>
    <w:rsid w:val="00E34908"/>
    <w:rsid w:val="00E375DD"/>
    <w:rsid w:val="00E524F0"/>
    <w:rsid w:val="00E52F00"/>
    <w:rsid w:val="00E64C59"/>
    <w:rsid w:val="00E7221D"/>
    <w:rsid w:val="00E76BF3"/>
    <w:rsid w:val="00E80864"/>
    <w:rsid w:val="00E80CBE"/>
    <w:rsid w:val="00E857FA"/>
    <w:rsid w:val="00E876AA"/>
    <w:rsid w:val="00EA308B"/>
    <w:rsid w:val="00EB089E"/>
    <w:rsid w:val="00EB7891"/>
    <w:rsid w:val="00EC05A7"/>
    <w:rsid w:val="00EC229E"/>
    <w:rsid w:val="00ED0525"/>
    <w:rsid w:val="00EE0D3A"/>
    <w:rsid w:val="00EE118B"/>
    <w:rsid w:val="00EE210E"/>
    <w:rsid w:val="00F11389"/>
    <w:rsid w:val="00F255AA"/>
    <w:rsid w:val="00F262B4"/>
    <w:rsid w:val="00F3377B"/>
    <w:rsid w:val="00F3638A"/>
    <w:rsid w:val="00F37A01"/>
    <w:rsid w:val="00F41340"/>
    <w:rsid w:val="00F44AC7"/>
    <w:rsid w:val="00F46925"/>
    <w:rsid w:val="00F66CBB"/>
    <w:rsid w:val="00FB107C"/>
    <w:rsid w:val="00FB239F"/>
    <w:rsid w:val="00FD1957"/>
    <w:rsid w:val="00FF0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DC008"/>
  <w15:chartTrackingRefBased/>
  <w15:docId w15:val="{2CFB94B6-3E60-5D41-B234-91413CF5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9F8"/>
    <w:pPr>
      <w:spacing w:after="120" w:line="240" w:lineRule="auto"/>
      <w:jc w:val="both"/>
    </w:pPr>
    <w:rPr>
      <w:sz w:val="20"/>
      <w:szCs w:val="20"/>
      <w:lang w:val="en-GB"/>
    </w:rPr>
  </w:style>
  <w:style w:type="paragraph" w:styleId="Heading1">
    <w:name w:val="heading 1"/>
    <w:next w:val="Normal"/>
    <w:link w:val="Heading1Char"/>
    <w:uiPriority w:val="9"/>
    <w:qFormat/>
    <w:rsid w:val="00A45843"/>
    <w:pPr>
      <w:keepNext/>
      <w:keepLines/>
      <w:spacing w:before="120" w:after="120" w:line="240" w:lineRule="auto"/>
      <w:outlineLvl w:val="0"/>
    </w:pPr>
    <w:rPr>
      <w:rFonts w:eastAsiaTheme="majorEastAsia" w:cstheme="majorBidi"/>
      <w:b/>
      <w:bCs/>
      <w:color w:val="74A7A4" w:themeColor="text2"/>
      <w:sz w:val="40"/>
      <w:szCs w:val="48"/>
    </w:rPr>
  </w:style>
  <w:style w:type="paragraph" w:styleId="Heading2">
    <w:name w:val="heading 2"/>
    <w:basedOn w:val="Normal"/>
    <w:next w:val="Normal"/>
    <w:link w:val="Heading2Char"/>
    <w:uiPriority w:val="9"/>
    <w:unhideWhenUsed/>
    <w:qFormat/>
    <w:rsid w:val="00DC0707"/>
    <w:pPr>
      <w:keepNext/>
      <w:keepLines/>
      <w:spacing w:before="12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C0707"/>
    <w:pPr>
      <w:keepNext/>
      <w:keepLines/>
      <w:spacing w:before="40"/>
      <w:outlineLvl w:val="2"/>
    </w:pPr>
    <w:rPr>
      <w:rFonts w:eastAsiaTheme="majorEastAsia" w:cstheme="majorBidi"/>
      <w:sz w:val="24"/>
      <w:szCs w:val="24"/>
      <w:u w:val="single"/>
    </w:rPr>
  </w:style>
  <w:style w:type="paragraph" w:styleId="Heading4">
    <w:name w:val="heading 4"/>
    <w:basedOn w:val="Normal"/>
    <w:next w:val="Normal"/>
    <w:link w:val="Heading4Char"/>
    <w:uiPriority w:val="9"/>
    <w:unhideWhenUsed/>
    <w:qFormat/>
    <w:rsid w:val="00427BAD"/>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427BAD"/>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er1">
    <w:name w:val="TableColumnHeader1"/>
    <w:basedOn w:val="Normal"/>
    <w:link w:val="TableColumnHeader1Char"/>
    <w:qFormat/>
    <w:rsid w:val="00937852"/>
    <w:pPr>
      <w:spacing w:before="60" w:after="60"/>
    </w:pPr>
    <w:rPr>
      <w:rFonts w:eastAsia="Times New Roman" w:cs="Arial"/>
      <w:b/>
    </w:rPr>
  </w:style>
  <w:style w:type="character" w:customStyle="1" w:styleId="TableColumnHeader1Char">
    <w:name w:val="TableColumnHeader1 Char"/>
    <w:basedOn w:val="DefaultParagraphFont"/>
    <w:link w:val="TableColumnHeader1"/>
    <w:rsid w:val="00937852"/>
    <w:rPr>
      <w:rFonts w:ascii="Century Gothic" w:eastAsia="Times New Roman" w:hAnsi="Century Gothic" w:cs="Arial"/>
      <w:b/>
    </w:rPr>
  </w:style>
  <w:style w:type="paragraph" w:customStyle="1" w:styleId="TableColumnHeader2">
    <w:name w:val="TableColumnHeader2"/>
    <w:basedOn w:val="Normal"/>
    <w:link w:val="TableColumnHeader2Char"/>
    <w:qFormat/>
    <w:rsid w:val="00937852"/>
    <w:pPr>
      <w:spacing w:before="60" w:after="40"/>
    </w:pPr>
    <w:rPr>
      <w:rFonts w:eastAsia="Times New Roman" w:cs="Arial"/>
      <w:b/>
    </w:rPr>
  </w:style>
  <w:style w:type="character" w:customStyle="1" w:styleId="TableColumnHeader2Char">
    <w:name w:val="TableColumnHeader2 Char"/>
    <w:basedOn w:val="DefaultParagraphFont"/>
    <w:link w:val="TableColumnHeader2"/>
    <w:rsid w:val="00937852"/>
    <w:rPr>
      <w:rFonts w:ascii="Century Gothic" w:eastAsia="Times New Roman" w:hAnsi="Century Gothic" w:cs="Arial"/>
      <w:b/>
      <w:sz w:val="20"/>
      <w:szCs w:val="20"/>
    </w:rPr>
  </w:style>
  <w:style w:type="paragraph" w:customStyle="1" w:styleId="TableText">
    <w:name w:val="Table Text"/>
    <w:basedOn w:val="Normal"/>
    <w:link w:val="TableTextChar"/>
    <w:qFormat/>
    <w:rsid w:val="001B4DF5"/>
    <w:pPr>
      <w:spacing w:before="60" w:after="40"/>
    </w:pPr>
    <w:rPr>
      <w:rFonts w:eastAsia="Times New Roman" w:cs="Arial"/>
      <w:lang w:eastAsia="en-AU"/>
    </w:rPr>
  </w:style>
  <w:style w:type="character" w:customStyle="1" w:styleId="TableTextChar">
    <w:name w:val="Table Text Char"/>
    <w:basedOn w:val="DefaultParagraphFont"/>
    <w:link w:val="TableText"/>
    <w:rsid w:val="001B4DF5"/>
    <w:rPr>
      <w:rFonts w:asciiTheme="minorHAnsi" w:eastAsia="Times New Roman" w:hAnsiTheme="minorHAnsi" w:cs="Arial"/>
      <w:sz w:val="20"/>
      <w:szCs w:val="20"/>
      <w:lang w:eastAsia="en-AU"/>
    </w:rPr>
  </w:style>
  <w:style w:type="paragraph" w:customStyle="1" w:styleId="Background">
    <w:name w:val="Background"/>
    <w:basedOn w:val="Normal"/>
    <w:link w:val="BackgroundChar"/>
    <w:qFormat/>
    <w:rsid w:val="00E2053F"/>
    <w:pPr>
      <w:spacing w:before="120"/>
    </w:pPr>
    <w:rPr>
      <w:rFonts w:eastAsia="Times New Roman" w:cs="Arial"/>
    </w:rPr>
  </w:style>
  <w:style w:type="character" w:customStyle="1" w:styleId="BackgroundChar">
    <w:name w:val="Background Char"/>
    <w:basedOn w:val="DefaultParagraphFont"/>
    <w:link w:val="Background"/>
    <w:rsid w:val="00E2053F"/>
    <w:rPr>
      <w:rFonts w:ascii="Arial" w:eastAsia="Times New Roman" w:hAnsi="Arial" w:cs="Arial"/>
    </w:rPr>
  </w:style>
  <w:style w:type="paragraph" w:customStyle="1" w:styleId="Tableheader">
    <w:name w:val="Table header"/>
    <w:next w:val="Normal"/>
    <w:qFormat/>
    <w:rsid w:val="00A45843"/>
    <w:pPr>
      <w:spacing w:after="0" w:line="240" w:lineRule="auto"/>
    </w:pPr>
    <w:rPr>
      <w:rFonts w:eastAsia="Times New Roman" w:cs="Arial"/>
      <w:b/>
      <w:sz w:val="20"/>
      <w:szCs w:val="20"/>
      <w:lang w:val="en-GB" w:eastAsia="en-AU"/>
    </w:rPr>
  </w:style>
  <w:style w:type="paragraph" w:customStyle="1" w:styleId="tabletext2">
    <w:name w:val="table text 2"/>
    <w:basedOn w:val="Normal"/>
    <w:qFormat/>
    <w:rsid w:val="00937852"/>
    <w:rPr>
      <w:rFonts w:eastAsia="Times New Roman" w:cs="Times New Roman"/>
      <w:b/>
      <w:lang w:eastAsia="en-AU"/>
    </w:rPr>
  </w:style>
  <w:style w:type="paragraph" w:styleId="Header">
    <w:name w:val="header"/>
    <w:basedOn w:val="Normal"/>
    <w:link w:val="HeaderChar"/>
    <w:uiPriority w:val="99"/>
    <w:unhideWhenUsed/>
    <w:qFormat/>
    <w:rsid w:val="001B4DF5"/>
    <w:pPr>
      <w:tabs>
        <w:tab w:val="center" w:pos="4513"/>
        <w:tab w:val="right" w:pos="9026"/>
      </w:tabs>
      <w:spacing w:before="240"/>
    </w:pPr>
    <w:rPr>
      <w:rFonts w:eastAsia="Times New Roman" w:cs="Times New Roman"/>
    </w:rPr>
  </w:style>
  <w:style w:type="character" w:customStyle="1" w:styleId="HeaderChar">
    <w:name w:val="Header Char"/>
    <w:basedOn w:val="DefaultParagraphFont"/>
    <w:link w:val="Header"/>
    <w:uiPriority w:val="99"/>
    <w:rsid w:val="001B4DF5"/>
    <w:rPr>
      <w:rFonts w:asciiTheme="minorHAnsi" w:eastAsia="Times New Roman" w:hAnsiTheme="minorHAnsi" w:cs="Times New Roman"/>
    </w:rPr>
  </w:style>
  <w:style w:type="paragraph" w:styleId="Footer">
    <w:name w:val="footer"/>
    <w:basedOn w:val="Normal"/>
    <w:link w:val="FooterChar"/>
    <w:uiPriority w:val="99"/>
    <w:unhideWhenUsed/>
    <w:rsid w:val="001B4DF5"/>
    <w:pPr>
      <w:tabs>
        <w:tab w:val="center" w:pos="4513"/>
        <w:tab w:val="right" w:pos="9026"/>
      </w:tabs>
    </w:pPr>
    <w:rPr>
      <w:rFonts w:eastAsia="Times New Roman" w:cs="Times New Roman"/>
      <w:sz w:val="16"/>
    </w:rPr>
  </w:style>
  <w:style w:type="character" w:customStyle="1" w:styleId="FooterChar">
    <w:name w:val="Footer Char"/>
    <w:basedOn w:val="DefaultParagraphFont"/>
    <w:link w:val="Footer"/>
    <w:uiPriority w:val="99"/>
    <w:rsid w:val="001B4DF5"/>
    <w:rPr>
      <w:rFonts w:asciiTheme="minorHAnsi" w:eastAsia="Times New Roman" w:hAnsiTheme="minorHAnsi" w:cs="Times New Roman"/>
      <w:sz w:val="16"/>
    </w:rPr>
  </w:style>
  <w:style w:type="table" w:styleId="TableGrid">
    <w:name w:val="Table Grid"/>
    <w:basedOn w:val="TableNormal"/>
    <w:uiPriority w:val="59"/>
    <w:rsid w:val="00937852"/>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
    <w:name w:val="Step"/>
    <w:basedOn w:val="Normal"/>
    <w:qFormat/>
    <w:rsid w:val="003206CC"/>
    <w:pPr>
      <w:numPr>
        <w:numId w:val="5"/>
      </w:numPr>
      <w:tabs>
        <w:tab w:val="clear" w:pos="644"/>
        <w:tab w:val="num" w:pos="426"/>
      </w:tabs>
      <w:spacing w:before="60"/>
      <w:ind w:left="641" w:hanging="357"/>
    </w:pPr>
  </w:style>
  <w:style w:type="character" w:customStyle="1" w:styleId="Heading1Char">
    <w:name w:val="Heading 1 Char"/>
    <w:basedOn w:val="DefaultParagraphFont"/>
    <w:link w:val="Heading1"/>
    <w:uiPriority w:val="9"/>
    <w:rsid w:val="00A45843"/>
    <w:rPr>
      <w:rFonts w:eastAsiaTheme="majorEastAsia" w:cstheme="majorBidi"/>
      <w:b/>
      <w:bCs/>
      <w:color w:val="74A7A4" w:themeColor="text2"/>
      <w:sz w:val="40"/>
      <w:szCs w:val="48"/>
    </w:rPr>
  </w:style>
  <w:style w:type="character" w:customStyle="1" w:styleId="Heading2Char">
    <w:name w:val="Heading 2 Char"/>
    <w:basedOn w:val="DefaultParagraphFont"/>
    <w:link w:val="Heading2"/>
    <w:uiPriority w:val="9"/>
    <w:rsid w:val="00DC0707"/>
    <w:rPr>
      <w:rFonts w:ascii="Arial" w:eastAsiaTheme="majorEastAsia" w:hAnsi="Arial" w:cstheme="majorBidi"/>
      <w:b/>
      <w:sz w:val="32"/>
      <w:szCs w:val="26"/>
      <w:lang w:val="en-GB"/>
    </w:rPr>
  </w:style>
  <w:style w:type="paragraph" w:customStyle="1" w:styleId="CoverpageTitle">
    <w:name w:val="Cover page Title"/>
    <w:basedOn w:val="Normal"/>
    <w:rsid w:val="0052062E"/>
    <w:pPr>
      <w:spacing w:before="2280"/>
      <w:ind w:left="851"/>
    </w:pPr>
    <w:rPr>
      <w:color w:val="002C41"/>
      <w:sz w:val="72"/>
    </w:rPr>
  </w:style>
  <w:style w:type="paragraph" w:customStyle="1" w:styleId="CoverPageSub-Title">
    <w:name w:val="Cover Page Sub-Title"/>
    <w:basedOn w:val="Normal"/>
    <w:rsid w:val="00E2053F"/>
    <w:pPr>
      <w:ind w:left="907"/>
    </w:pPr>
    <w:rPr>
      <w:color w:val="5E747D"/>
      <w:sz w:val="40"/>
    </w:rPr>
  </w:style>
  <w:style w:type="paragraph" w:customStyle="1" w:styleId="TOCHeader">
    <w:name w:val="TOC Header"/>
    <w:basedOn w:val="Heading1"/>
    <w:rsid w:val="0052062E"/>
    <w:pPr>
      <w:keepLines w:val="0"/>
      <w:pageBreakBefore/>
      <w:spacing w:after="480"/>
      <w:jc w:val="center"/>
    </w:pPr>
    <w:rPr>
      <w:rFonts w:eastAsia="Times New Roman" w:cs="Times New Roman"/>
      <w:bCs w:val="0"/>
      <w:kern w:val="32"/>
      <w:lang w:eastAsia="en-AU"/>
    </w:rPr>
  </w:style>
  <w:style w:type="paragraph" w:styleId="TOC2">
    <w:name w:val="toc 2"/>
    <w:basedOn w:val="Normal"/>
    <w:next w:val="Normal"/>
    <w:autoRedefine/>
    <w:uiPriority w:val="39"/>
    <w:rsid w:val="0052062E"/>
    <w:pPr>
      <w:tabs>
        <w:tab w:val="right" w:pos="9360"/>
      </w:tabs>
      <w:spacing w:before="60"/>
      <w:ind w:left="737" w:right="567"/>
    </w:pPr>
    <w:rPr>
      <w:rFonts w:eastAsia="Times New Roman" w:cs="Times New Roman"/>
      <w:szCs w:val="24"/>
      <w:lang w:eastAsia="en-AU"/>
    </w:rPr>
  </w:style>
  <w:style w:type="paragraph" w:styleId="TOC1">
    <w:name w:val="toc 1"/>
    <w:basedOn w:val="Normal"/>
    <w:next w:val="Normal"/>
    <w:uiPriority w:val="39"/>
    <w:rsid w:val="00F3638A"/>
    <w:pPr>
      <w:tabs>
        <w:tab w:val="right" w:pos="9360"/>
      </w:tabs>
      <w:spacing w:before="60"/>
      <w:ind w:left="567" w:right="567"/>
    </w:pPr>
    <w:rPr>
      <w:rFonts w:eastAsia="Times New Roman" w:cs="Times New Roman"/>
      <w:b/>
      <w:szCs w:val="24"/>
      <w:lang w:eastAsia="en-AU"/>
    </w:rPr>
  </w:style>
  <w:style w:type="character" w:styleId="Hyperlink">
    <w:name w:val="Hyperlink"/>
    <w:basedOn w:val="DefaultParagraphFont"/>
    <w:uiPriority w:val="99"/>
    <w:unhideWhenUsed/>
    <w:rsid w:val="0052062E"/>
    <w:rPr>
      <w:color w:val="417373" w:themeColor="hyperlink"/>
      <w:u w:val="single"/>
    </w:rPr>
  </w:style>
  <w:style w:type="paragraph" w:customStyle="1" w:styleId="StepPara">
    <w:name w:val="Step Para"/>
    <w:basedOn w:val="Normal"/>
    <w:rsid w:val="00C115E7"/>
    <w:pPr>
      <w:spacing w:before="60"/>
      <w:ind w:left="652"/>
    </w:pPr>
    <w:rPr>
      <w:rFonts w:eastAsia="Times New Roman" w:cs="Times New Roman"/>
      <w:szCs w:val="24"/>
      <w:lang w:eastAsia="en-AU"/>
    </w:rPr>
  </w:style>
  <w:style w:type="paragraph" w:customStyle="1" w:styleId="Bulletstandard">
    <w:name w:val="Bullet standard"/>
    <w:basedOn w:val="Normal"/>
    <w:qFormat/>
    <w:rsid w:val="00E2053F"/>
    <w:pPr>
      <w:numPr>
        <w:numId w:val="9"/>
      </w:numPr>
      <w:spacing w:before="120"/>
      <w:ind w:left="1037"/>
    </w:pPr>
    <w:rPr>
      <w:rFonts w:eastAsia="MS Mincho" w:cs="Arial"/>
      <w:lang w:eastAsia="ja-JP"/>
    </w:rPr>
  </w:style>
  <w:style w:type="paragraph" w:customStyle="1" w:styleId="Bullet1">
    <w:name w:val="Bullet 1"/>
    <w:basedOn w:val="Bulletstandard"/>
    <w:link w:val="Bullet1Char"/>
    <w:qFormat/>
    <w:rsid w:val="00AE6624"/>
    <w:pPr>
      <w:numPr>
        <w:ilvl w:val="1"/>
      </w:numPr>
      <w:ind w:left="697" w:hanging="357"/>
    </w:pPr>
  </w:style>
  <w:style w:type="character" w:customStyle="1" w:styleId="Bullet1Char">
    <w:name w:val="Bullet 1 Char"/>
    <w:basedOn w:val="DefaultParagraphFont"/>
    <w:link w:val="Bullet1"/>
    <w:rsid w:val="00AE6624"/>
    <w:rPr>
      <w:rFonts w:ascii="Arial" w:eastAsia="MS Mincho" w:hAnsi="Arial" w:cs="Arial"/>
      <w:sz w:val="20"/>
      <w:szCs w:val="20"/>
      <w:lang w:val="en-GB" w:eastAsia="ja-JP"/>
    </w:rPr>
  </w:style>
  <w:style w:type="paragraph" w:customStyle="1" w:styleId="Bullet2">
    <w:name w:val="Bullet 2"/>
    <w:basedOn w:val="Bullet1"/>
    <w:qFormat/>
    <w:rsid w:val="00AE6624"/>
    <w:pPr>
      <w:numPr>
        <w:ilvl w:val="2"/>
      </w:numPr>
      <w:tabs>
        <w:tab w:val="num" w:pos="360"/>
        <w:tab w:val="num" w:pos="643"/>
      </w:tabs>
      <w:ind w:left="924" w:hanging="357"/>
    </w:pPr>
  </w:style>
  <w:style w:type="paragraph" w:customStyle="1" w:styleId="Bullet3">
    <w:name w:val="Bullet 3"/>
    <w:basedOn w:val="Bullet2"/>
    <w:rsid w:val="00AE6624"/>
    <w:pPr>
      <w:numPr>
        <w:ilvl w:val="0"/>
        <w:numId w:val="22"/>
      </w:numPr>
      <w:tabs>
        <w:tab w:val="num" w:pos="360"/>
        <w:tab w:val="num" w:pos="643"/>
      </w:tabs>
      <w:ind w:left="1151" w:hanging="357"/>
    </w:pPr>
  </w:style>
  <w:style w:type="character" w:customStyle="1" w:styleId="Heading3Char">
    <w:name w:val="Heading 3 Char"/>
    <w:basedOn w:val="DefaultParagraphFont"/>
    <w:link w:val="Heading3"/>
    <w:uiPriority w:val="9"/>
    <w:rsid w:val="00DC0707"/>
    <w:rPr>
      <w:rFonts w:ascii="Arial" w:eastAsiaTheme="majorEastAsia" w:hAnsi="Arial" w:cstheme="majorBidi"/>
      <w:sz w:val="24"/>
      <w:szCs w:val="24"/>
      <w:u w:val="single"/>
      <w:lang w:val="en-GB"/>
    </w:rPr>
  </w:style>
  <w:style w:type="character" w:customStyle="1" w:styleId="Heading4Char">
    <w:name w:val="Heading 4 Char"/>
    <w:basedOn w:val="DefaultParagraphFont"/>
    <w:link w:val="Heading4"/>
    <w:uiPriority w:val="9"/>
    <w:rsid w:val="00427BAD"/>
    <w:rPr>
      <w:rFonts w:ascii="Arial" w:eastAsiaTheme="majorEastAsia" w:hAnsi="Arial" w:cstheme="majorBidi"/>
      <w:i/>
      <w:iCs/>
    </w:rPr>
  </w:style>
  <w:style w:type="paragraph" w:customStyle="1" w:styleId="Picture">
    <w:name w:val="Picture"/>
    <w:basedOn w:val="Normal"/>
    <w:rsid w:val="007124C3"/>
    <w:pPr>
      <w:spacing w:before="240" w:after="240"/>
      <w:jc w:val="center"/>
    </w:pPr>
    <w:rPr>
      <w:noProof/>
    </w:rPr>
  </w:style>
  <w:style w:type="paragraph" w:customStyle="1" w:styleId="Hint">
    <w:name w:val="Hint"/>
    <w:basedOn w:val="Normal"/>
    <w:qFormat/>
    <w:rsid w:val="006B4DC5"/>
    <w:pPr>
      <w:pBdr>
        <w:top w:val="single" w:sz="12" w:space="3" w:color="778B53"/>
        <w:left w:val="single" w:sz="12" w:space="4" w:color="778B53"/>
        <w:bottom w:val="single" w:sz="12" w:space="3" w:color="778B53"/>
        <w:right w:val="single" w:sz="12" w:space="4" w:color="778B53"/>
      </w:pBdr>
      <w:spacing w:before="60"/>
    </w:pPr>
    <w:rPr>
      <w:rFonts w:eastAsia="Times New Roman" w:cs="Times New Roman"/>
      <w:b/>
      <w:szCs w:val="24"/>
      <w:lang w:eastAsia="en-AU"/>
    </w:rPr>
  </w:style>
  <w:style w:type="paragraph" w:customStyle="1" w:styleId="Note">
    <w:name w:val="Note"/>
    <w:basedOn w:val="Normal"/>
    <w:qFormat/>
    <w:rsid w:val="00D80A77"/>
    <w:pPr>
      <w:pBdr>
        <w:top w:val="double" w:sz="4" w:space="4" w:color="B85952"/>
        <w:left w:val="double" w:sz="4" w:space="4" w:color="B85952"/>
        <w:bottom w:val="double" w:sz="4" w:space="4" w:color="B85952"/>
        <w:right w:val="double" w:sz="4" w:space="4" w:color="B85952"/>
      </w:pBdr>
      <w:spacing w:before="60"/>
    </w:pPr>
    <w:rPr>
      <w:rFonts w:eastAsia="Times New Roman" w:cs="Times New Roman"/>
      <w:b/>
      <w:bCs/>
      <w:szCs w:val="24"/>
      <w:lang w:eastAsia="en-AU"/>
    </w:rPr>
  </w:style>
  <w:style w:type="paragraph" w:customStyle="1" w:styleId="Reference">
    <w:name w:val="Reference"/>
    <w:basedOn w:val="Hint"/>
    <w:qFormat/>
    <w:rsid w:val="00581BFE"/>
    <w:pPr>
      <w:pBdr>
        <w:top w:val="dashSmallGap" w:sz="12" w:space="3" w:color="DCA44A"/>
        <w:left w:val="dashSmallGap" w:sz="12" w:space="4" w:color="DCA44A"/>
        <w:bottom w:val="dashSmallGap" w:sz="12" w:space="3" w:color="DCA44A"/>
        <w:right w:val="dashSmallGap" w:sz="12" w:space="4" w:color="DCA44A"/>
      </w:pBdr>
    </w:pPr>
  </w:style>
  <w:style w:type="paragraph" w:customStyle="1" w:styleId="Titlelinkedtofooter">
    <w:name w:val="Title linked to footer"/>
    <w:basedOn w:val="Heading1"/>
    <w:rsid w:val="00A45843"/>
  </w:style>
  <w:style w:type="character" w:customStyle="1" w:styleId="Heading5Char">
    <w:name w:val="Heading 5 Char"/>
    <w:basedOn w:val="DefaultParagraphFont"/>
    <w:link w:val="Heading5"/>
    <w:uiPriority w:val="9"/>
    <w:semiHidden/>
    <w:rsid w:val="00427BAD"/>
    <w:rPr>
      <w:rFonts w:asciiTheme="majorHAnsi" w:eastAsiaTheme="majorEastAsia" w:hAnsiTheme="majorHAnsi" w:cstheme="majorBidi"/>
    </w:rPr>
  </w:style>
  <w:style w:type="paragraph" w:customStyle="1" w:styleId="Intro">
    <w:name w:val="Intro"/>
    <w:basedOn w:val="Normal"/>
    <w:qFormat/>
    <w:rsid w:val="00E375DD"/>
    <w:rPr>
      <w:b/>
      <w:bCs/>
      <w:color w:val="74A7A4" w:themeColor="text2"/>
      <w:sz w:val="24"/>
    </w:rPr>
  </w:style>
  <w:style w:type="paragraph" w:customStyle="1" w:styleId="Paraa">
    <w:name w:val="Para a)"/>
    <w:basedOn w:val="Bullet3"/>
    <w:qFormat/>
    <w:rsid w:val="00AE6624"/>
    <w:pPr>
      <w:numPr>
        <w:numId w:val="23"/>
      </w:numPr>
      <w:tabs>
        <w:tab w:val="num" w:pos="643"/>
      </w:tabs>
    </w:pPr>
  </w:style>
  <w:style w:type="character" w:styleId="UnresolvedMention">
    <w:name w:val="Unresolved Mention"/>
    <w:basedOn w:val="DefaultParagraphFont"/>
    <w:uiPriority w:val="99"/>
    <w:semiHidden/>
    <w:unhideWhenUsed/>
    <w:rsid w:val="00401EB3"/>
    <w:rPr>
      <w:color w:val="605E5C"/>
      <w:shd w:val="clear" w:color="auto" w:fill="E1DFDD"/>
    </w:rPr>
  </w:style>
  <w:style w:type="character" w:styleId="FollowedHyperlink">
    <w:name w:val="FollowedHyperlink"/>
    <w:basedOn w:val="DefaultParagraphFont"/>
    <w:uiPriority w:val="99"/>
    <w:semiHidden/>
    <w:unhideWhenUsed/>
    <w:rsid w:val="00401EB3"/>
    <w:rPr>
      <w:color w:val="5E747C" w:themeColor="followedHyperlink"/>
      <w:u w:val="single"/>
    </w:rPr>
  </w:style>
  <w:style w:type="paragraph" w:customStyle="1" w:styleId="ContactDetails">
    <w:name w:val="Contact Details"/>
    <w:basedOn w:val="Normal"/>
    <w:qFormat/>
    <w:rsid w:val="00401EB3"/>
    <w:rPr>
      <w:lang w:val="en-AU"/>
    </w:rPr>
  </w:style>
  <w:style w:type="character" w:styleId="PageNumber">
    <w:name w:val="page number"/>
    <w:basedOn w:val="DefaultParagraphFont"/>
    <w:uiPriority w:val="99"/>
    <w:semiHidden/>
    <w:unhideWhenUsed/>
    <w:rsid w:val="00EE118B"/>
  </w:style>
  <w:style w:type="paragraph" w:customStyle="1" w:styleId="paraa0">
    <w:name w:val="para a)"/>
    <w:basedOn w:val="Bullet3"/>
    <w:qFormat/>
    <w:rsid w:val="00AE6624"/>
    <w:pPr>
      <w:numPr>
        <w:numId w:val="24"/>
      </w:numPr>
      <w:tabs>
        <w:tab w:val="num" w:pos="643"/>
      </w:tabs>
      <w:ind w:left="1151" w:hanging="357"/>
    </w:pPr>
  </w:style>
  <w:style w:type="paragraph" w:customStyle="1" w:styleId="parai">
    <w:name w:val="para i)"/>
    <w:basedOn w:val="paraa0"/>
    <w:qFormat/>
    <w:rsid w:val="00AE6624"/>
    <w:pPr>
      <w:numPr>
        <w:numId w:val="25"/>
      </w:numPr>
    </w:pPr>
  </w:style>
  <w:style w:type="paragraph" w:customStyle="1" w:styleId="BodyText1">
    <w:name w:val="Body Text1"/>
    <w:link w:val="BodyText1Char"/>
    <w:qFormat/>
    <w:rsid w:val="001C139F"/>
    <w:pPr>
      <w:spacing w:after="120" w:line="240" w:lineRule="auto"/>
    </w:pPr>
    <w:rPr>
      <w:rFonts w:asciiTheme="minorHAnsi" w:eastAsia="MS Mincho" w:hAnsiTheme="minorHAnsi" w:cs="Arial"/>
      <w:color w:val="1A1918"/>
      <w:szCs w:val="24"/>
      <w:lang w:eastAsia="ja-JP"/>
    </w:rPr>
  </w:style>
  <w:style w:type="character" w:customStyle="1" w:styleId="BodyText1Char">
    <w:name w:val="Body Text1 Char"/>
    <w:basedOn w:val="HeaderChar"/>
    <w:link w:val="BodyText1"/>
    <w:rsid w:val="001C139F"/>
    <w:rPr>
      <w:rFonts w:asciiTheme="minorHAnsi" w:eastAsia="MS Mincho" w:hAnsiTheme="minorHAnsi" w:cs="Arial"/>
      <w:color w:val="1A19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89263">
      <w:bodyDiv w:val="1"/>
      <w:marLeft w:val="0"/>
      <w:marRight w:val="0"/>
      <w:marTop w:val="0"/>
      <w:marBottom w:val="0"/>
      <w:divBdr>
        <w:top w:val="none" w:sz="0" w:space="0" w:color="auto"/>
        <w:left w:val="none" w:sz="0" w:space="0" w:color="auto"/>
        <w:bottom w:val="none" w:sz="0" w:space="0" w:color="auto"/>
        <w:right w:val="none" w:sz="0" w:space="0" w:color="auto"/>
      </w:divBdr>
    </w:div>
    <w:div w:id="14588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ousing.qld.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servicesaustralia.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ousing.qld.gov.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CofC_General_2022">
  <a:themeElements>
    <a:clrScheme name="CofC 2022 1">
      <a:dk1>
        <a:srgbClr val="417373"/>
      </a:dk1>
      <a:lt1>
        <a:srgbClr val="FFFEFE"/>
      </a:lt1>
      <a:dk2>
        <a:srgbClr val="74A7A4"/>
      </a:dk2>
      <a:lt2>
        <a:srgbClr val="FFFEFE"/>
      </a:lt2>
      <a:accent1>
        <a:srgbClr val="DBA349"/>
      </a:accent1>
      <a:accent2>
        <a:srgbClr val="B85852"/>
      </a:accent2>
      <a:accent3>
        <a:srgbClr val="778A53"/>
      </a:accent3>
      <a:accent4>
        <a:srgbClr val="505A41"/>
      </a:accent4>
      <a:accent5>
        <a:srgbClr val="D6B8BA"/>
      </a:accent5>
      <a:accent6>
        <a:srgbClr val="69081D"/>
      </a:accent6>
      <a:hlink>
        <a:srgbClr val="417373"/>
      </a:hlink>
      <a:folHlink>
        <a:srgbClr val="5E747C"/>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fC_General_2022" id="{7A505669-4953-E349-89E5-03E4D028B838}" vid="{2CE314F7-1059-B44D-8099-4631B7DBF8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_x0020_Procedures1 xmlns="44a7cf9d-e1d3-4cde-832a-95b73fc4b484"/>
    <Secure xmlns="44a7cf9d-e1d3-4cde-832a-95b73fc4b484">false</Secure>
    <ia81d4ae08224a7ebf86f376b18bee16 xmlns="44a7cf9d-e1d3-4cde-832a-95b73fc4b484">
      <Terms xmlns="http://schemas.microsoft.com/office/infopath/2007/PartnerControls">
        <TermInfo xmlns="http://schemas.microsoft.com/office/infopath/2007/PartnerControls">
          <TermName xmlns="http://schemas.microsoft.com/office/infopath/2007/PartnerControls">Housing Programs</TermName>
          <TermId xmlns="http://schemas.microsoft.com/office/infopath/2007/PartnerControls">ebd50e35-4fff-45f4-988c-dc83f5ed9775</TermId>
        </TermInfo>
        <TermInfo xmlns="http://schemas.microsoft.com/office/infopath/2007/PartnerControls">
          <TermName xmlns="http://schemas.microsoft.com/office/infopath/2007/PartnerControls">Affordable Living Housing</TermName>
          <TermId xmlns="http://schemas.microsoft.com/office/infopath/2007/PartnerControls">5199db11-6be9-46ff-b957-c7acf6b3b85e</TermId>
        </TermInfo>
        <TermInfo xmlns="http://schemas.microsoft.com/office/infopath/2007/PartnerControls">
          <TermName xmlns="http://schemas.microsoft.com/office/infopath/2007/PartnerControls">Caravan Park</TermName>
          <TermId xmlns="http://schemas.microsoft.com/office/infopath/2007/PartnerControls">bf681b4b-7ef9-49bf-9e25-33638f3eb0b6</TermId>
        </TermInfo>
      </Terms>
    </ia81d4ae08224a7ebf86f376b18bee16>
    <b3bda1b9a85a45e3897e4599c9ed5c88 xmlns="44a7cf9d-e1d3-4cde-832a-95b73fc4b484">
      <Terms xmlns="http://schemas.microsoft.com/office/infopath/2007/PartnerControls">
        <TermInfo xmlns="http://schemas.microsoft.com/office/infopath/2007/PartnerControls">
          <TermName xmlns="http://schemas.microsoft.com/office/infopath/2007/PartnerControls">Ongoing Eligibility</TermName>
          <TermId xmlns="http://schemas.microsoft.com/office/infopath/2007/PartnerControls">8f3b9788-ec2c-4741-9c23-b1fba429cc98</TermId>
        </TermInfo>
      </Terms>
    </b3bda1b9a85a45e3897e4599c9ed5c88>
    <Display_x0020_Elsewhere xmlns="44a7cf9d-e1d3-4cde-832a-95b73fc4b484" xsi:nil="true"/>
    <Archive xmlns="44a7cf9d-e1d3-4cde-832a-95b73fc4b484" xsi:nil="true"/>
    <p137ad41fdbd4c539b79d943fe694f99 xmlns="44a7cf9d-e1d3-4cde-832a-95b73fc4b484">
      <Terms xmlns="http://schemas.microsoft.com/office/infopath/2007/PartnerControls">
        <TermInfo xmlns="http://schemas.microsoft.com/office/infopath/2007/PartnerControls">
          <TermName xmlns="http://schemas.microsoft.com/office/infopath/2007/PartnerControls">Housing Services</TermName>
          <TermId xmlns="http://schemas.microsoft.com/office/infopath/2007/PartnerControls">6893d2ef-c52f-4f66-859f-bc526a7f39e0</TermId>
        </TermInfo>
      </Terms>
    </p137ad41fdbd4c539b79d943fe694f99>
    <a4a46c8e9a0a49eaa9001aec671631ff xmlns="44a7cf9d-e1d3-4cde-832a-95b73fc4b484">
      <Terms xmlns="http://schemas.microsoft.com/office/infopath/2007/PartnerControls"/>
    </a4a46c8e9a0a49eaa9001aec671631ff>
    <_dlc_DocId xmlns="44a7cf9d-e1d3-4cde-832a-95b73fc4b484">JWF3P42KHV6Y-8-5582</_dlc_DocId>
    <TaxCatchAll xmlns="44a7cf9d-e1d3-4cde-832a-95b73fc4b484">
      <Value>1791</Value>
      <Value>1146</Value>
      <Value>1151</Value>
      <Value>2109</Value>
      <Value>1149</Value>
    </TaxCatchAll>
    <n969f39183d44ba780f3b336867b7c78 xmlns="44a7cf9d-e1d3-4cde-832a-95b73fc4b484">
      <Terms xmlns="http://schemas.microsoft.com/office/infopath/2007/PartnerControls"/>
    </n969f39183d44ba780f3b336867b7c78>
    <Management_x0020_System xmlns="44a7cf9d-e1d3-4cde-832a-95b73fc4b484">
      <Value>Care</Value>
    </Management_x0020_System>
    <TaxKeywordTaxHTField xmlns="44a7cf9d-e1d3-4cde-832a-95b73fc4b484">
      <Terms xmlns="http://schemas.microsoft.com/office/infopath/2007/PartnerControls"/>
    </TaxKeywordTaxHTField>
    <Frequently_x0020_Used xmlns="44a7cf9d-e1d3-4cde-832a-95b73fc4b484">false</Frequently_x0020_Used>
    <Document_x0020_Version xmlns="44a7cf9d-e1d3-4cde-832a-95b73fc4b484">3.1</Document_x0020_Version>
    <Process_x0020_Stage xmlns="44a7cf9d-e1d3-4cde-832a-95b73fc4b484">7</Process_x0020_Stage>
    <Improvement xmlns="44a7cf9d-e1d3-4cde-832a-95b73fc4b484" xsi:nil="true"/>
    <p6cf7bba5261422eb8890e8ace6bbbe7 xmlns="44a7cf9d-e1d3-4cde-832a-95b73fc4b484">
      <Terms xmlns="http://schemas.microsoft.com/office/infopath/2007/PartnerControls"/>
    </p6cf7bba5261422eb8890e8ace6bbbe7>
    <Last_x0020_Review xmlns="44a7cf9d-e1d3-4cde-832a-95b73fc4b484">2025-05-04T14:00:00+00:00</Last_x0020_Review>
    <Review_x0020_Date xmlns="44a7cf9d-e1d3-4cde-832a-95b73fc4b484" xsi:nil="true"/>
    <Related_x0020_Procedures xmlns="44a7cf9d-e1d3-4cde-832a-95b73fc4b484"/>
    <Next_x0020_Review_x0020_Date xmlns="44a7cf9d-e1d3-4cde-832a-95b73fc4b484" xsi:nil="true"/>
    <k221e2d50f1549aca25a6ab6dd011e9d xmlns="44a7cf9d-e1d3-4cde-832a-95b73fc4b484">
      <Terms xmlns="http://schemas.microsoft.com/office/infopath/2007/PartnerControls"/>
    </k221e2d50f1549aca25a6ab6dd011e9d>
    <_dlc_DocIdUrl xmlns="44a7cf9d-e1d3-4cde-832a-95b73fc4b484">
      <Url>https://stafflink.cofcqld.com.au/sites/docs/_layouts/15/DocIdRedir.aspx?ID=JWF3P42KHV6Y-8-5582</Url>
      <Description>JWF3P42KHV6Y-8-5582</Description>
    </_dlc_DocIdUrl>
    <Document_x0020_Type xmlns="44a7cf9d-e1d3-4cde-832a-95b73fc4b484">Information Sheet</Document_x0020_Type>
    <UnlockDoc xmlns="44a7cf9d-e1d3-4cde-832a-95b73fc4b484">false</UnlockDoc>
    <_dlc_DocIdPersistId xmlns="44a7cf9d-e1d3-4cde-832a-95b73fc4b484" xsi:nil="true"/>
    <FieldName_BB56E94D_36BB_42AB_BB3E_2CADD83BC4D4_ xmlns="44a7cf9d-e1d3-4cde-832a-95b73fc4b48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Information Sheet - Portrait" ma:contentTypeID="0x010100EF2EF123E9FE0248B550AA805597174401022200BB9C91098FDCE74DA4A1E4A1827C5383" ma:contentTypeVersion="43" ma:contentTypeDescription="" ma:contentTypeScope="" ma:versionID="f30c7a413f2fb8e0abef9cfdb596151c">
  <xsd:schema xmlns:xsd="http://www.w3.org/2001/XMLSchema" xmlns:xs="http://www.w3.org/2001/XMLSchema" xmlns:p="http://schemas.microsoft.com/office/2006/metadata/properties" xmlns:ns1="44a7cf9d-e1d3-4cde-832a-95b73fc4b484" targetNamespace="http://schemas.microsoft.com/office/2006/metadata/properties" ma:root="true" ma:fieldsID="a60a2ca34a04006a4f823ff8b10f67f8" ns1:_="">
    <xsd:import namespace="44a7cf9d-e1d3-4cde-832a-95b73fc4b484"/>
    <xsd:element name="properties">
      <xsd:complexType>
        <xsd:sequence>
          <xsd:element name="documentManagement">
            <xsd:complexType>
              <xsd:all>
                <xsd:element ref="ns1:Document_x0020_Type" minOccurs="0"/>
                <xsd:element ref="ns1:Related_x0020_Procedures1" minOccurs="0"/>
                <xsd:element ref="ns1:Process_x0020_Stage" minOccurs="0"/>
                <xsd:element ref="ns1:Management_x0020_System" minOccurs="0"/>
                <xsd:element ref="ns1:Improvement" minOccurs="0"/>
                <xsd:element ref="ns1:Frequently_x0020_Used" minOccurs="0"/>
                <xsd:element ref="ns1:Secure" minOccurs="0"/>
                <xsd:element ref="ns1:Display_x0020_Elsewhere" minOccurs="0"/>
                <xsd:element ref="ns1:Archive" minOccurs="0"/>
                <xsd:element ref="ns1:FieldName_BB56E94D_36BB_42AB_BB3E_2CADD83BC4D4_" minOccurs="0"/>
                <xsd:element ref="ns1:UnlockDoc" minOccurs="0"/>
                <xsd:element ref="ns1:n969f39183d44ba780f3b336867b7c78" minOccurs="0"/>
                <xsd:element ref="ns1:ia81d4ae08224a7ebf86f376b18bee16" minOccurs="0"/>
                <xsd:element ref="ns1:p137ad41fdbd4c539b79d943fe694f99" minOccurs="0"/>
                <xsd:element ref="ns1:TaxCatchAll" minOccurs="0"/>
                <xsd:element ref="ns1:TaxCatchAllLabel" minOccurs="0"/>
                <xsd:element ref="ns1:_dlc_DocId" minOccurs="0"/>
                <xsd:element ref="ns1:_dlc_DocIdUrl" minOccurs="0"/>
                <xsd:element ref="ns1:_dlc_DocIdPersistId" minOccurs="0"/>
                <xsd:element ref="ns1:Document_x0020_Version" minOccurs="0"/>
                <xsd:element ref="ns1:p6cf7bba5261422eb8890e8ace6bbbe7" minOccurs="0"/>
                <xsd:element ref="ns1:TaxKeywordTaxHTField" minOccurs="0"/>
                <xsd:element ref="ns1:b3bda1b9a85a45e3897e4599c9ed5c88" minOccurs="0"/>
                <xsd:element ref="ns1:Next_x0020_Review_x0020_Date" minOccurs="0"/>
                <xsd:element ref="ns1:Review_x0020_Date" minOccurs="0"/>
                <xsd:element ref="ns1:Last_x0020_Review" minOccurs="0"/>
                <xsd:element ref="ns1:k221e2d50f1549aca25a6ab6dd011e9d" minOccurs="0"/>
                <xsd:element ref="ns1:Related_x0020_Procedures" minOccurs="0"/>
                <xsd:element ref="ns1:a4a46c8e9a0a49eaa9001aec671631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cf9d-e1d3-4cde-832a-95b73fc4b484" elementFormDefault="qualified">
    <xsd:import namespace="http://schemas.microsoft.com/office/2006/documentManagement/types"/>
    <xsd:import namespace="http://schemas.microsoft.com/office/infopath/2007/PartnerControls"/>
    <xsd:element name="Document_x0020_Type" ma:index="0" nillable="true" ma:displayName="Document Type" ma:description="Should be the same as Content Type. Choose other if you are not sure." ma:format="Dropdown" ma:internalName="Document_x0020_Type" ma:readOnly="false">
      <xsd:simpleType>
        <xsd:restriction base="dms:Choice">
          <xsd:enumeration value="Other"/>
          <xsd:enumeration value="Form"/>
          <xsd:enumeration value="Checklist"/>
          <xsd:enumeration value="Information Sheet"/>
          <xsd:enumeration value="Work Instruction"/>
          <xsd:enumeration value="Framework"/>
          <xsd:enumeration value="Guide"/>
          <xsd:enumeration value="Letter"/>
          <xsd:enumeration value="Template"/>
          <xsd:enumeration value="Handbook"/>
          <xsd:enumeration value="External Document"/>
          <xsd:enumeration value="Agreement/Contract"/>
          <xsd:enumeration value="Brochure"/>
          <xsd:enumeration value="Poster"/>
          <xsd:enumeration value="Presentation"/>
          <xsd:enumeration value="System Overview"/>
          <xsd:enumeration value="Safe Operating Procedure"/>
          <xsd:enumeration value="Terms of Reference"/>
          <xsd:enumeration value="Learning Material"/>
          <xsd:enumeration value="Certificate"/>
          <xsd:enumeration value="Sales Pack"/>
          <xsd:enumeration value="Frequently Asked Questions"/>
          <xsd:enumeration value="Memorandum"/>
          <xsd:enumeration value="Training Plan"/>
          <xsd:enumeration value="Workflow Diagrams"/>
        </xsd:restriction>
      </xsd:simpleType>
    </xsd:element>
    <xsd:element name="Related_x0020_Procedures1" ma:index="6" nillable="true" ma:displayName="Related Procedures" ma:description="What procedures is this document a part of, or relates to. Can relate to more than one." ma:list="{8067ff90-da7c-42ef-862d-179af95cfc6d}" ma:internalName="Related_x0020_Procedures1"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Process_x0020_Stage" ma:index="7" nillable="true" ma:displayName="Process Stage" ma:description="Where in the client lifecycle does this document relate to - Care Services Only." ma:list="{b06f36e1-b9cd-48e1-9054-2271c50be9b9}" ma:internalName="Process_x0020_Stage" ma:readOnly="false" ma:showField="Title" ma:web="44a7cf9d-e1d3-4cde-832a-95b73fc4b484">
      <xsd:simpleType>
        <xsd:restriction base="dms:Lookup"/>
      </xsd:simpleType>
    </xsd:element>
    <xsd:element name="Management_x0020_System" ma:index="9" nillable="true" ma:displayName="Management System" ma:description="Which index for the Client Services would you like the document to be presented on. Leave blank if it does not relate to a Care Service" ma:internalName="Management_x0020_System" ma:readOnly="false">
      <xsd:complexType>
        <xsd:complexContent>
          <xsd:extension base="dms:MultiChoice">
            <xsd:sequence>
              <xsd:element name="Value" maxOccurs="unbounded" minOccurs="0" nillable="true">
                <xsd:simpleType>
                  <xsd:restriction base="dms:Choice">
                    <xsd:enumeration value="Care"/>
                    <xsd:enumeration value="Support"/>
                  </xsd:restriction>
                </xsd:simpleType>
              </xsd:element>
            </xsd:sequence>
          </xsd:extension>
        </xsd:complexContent>
      </xsd:complexType>
    </xsd:element>
    <xsd:element name="Improvement" ma:index="10" nillable="true" ma:displayName="Improvement" ma:description="Any identified improvement opportunities that can't be implemented now but are on the horizon" ma:internalName="Improvement" ma:readOnly="false">
      <xsd:simpleType>
        <xsd:restriction base="dms:Note"/>
      </xsd:simpleType>
    </xsd:element>
    <xsd:element name="Frequently_x0020_Used" ma:index="11" nillable="true" ma:displayName="Frequently Used" ma:default="0" ma:description="Is this a frequently used document?" ma:indexed="true" ma:internalName="Frequently_x0020_Used" ma:readOnly="false">
      <xsd:simpleType>
        <xsd:restriction base="dms:Boolean"/>
      </xsd:simpleType>
    </xsd:element>
    <xsd:element name="Secure" ma:index="12" nillable="true" ma:displayName="Secure" ma:default="0" ma:description="Is this document only to be viewed by certain people? e.g. documents with passwords." ma:internalName="Secure" ma:readOnly="false">
      <xsd:simpleType>
        <xsd:restriction base="dms:Boolean"/>
      </xsd:simpleType>
    </xsd:element>
    <xsd:element name="Display_x0020_Elsewhere" ma:index="13" nillable="true" ma:displayName="Display Elsewhere" ma:format="Dropdown" ma:internalName="Display_x0020_Elsewhere">
      <xsd:simpleType>
        <xsd:restriction base="dms:Choice">
          <xsd:enumeration value="EBA"/>
          <xsd:enumeration value="EZI"/>
          <xsd:enumeration value="Archiving Records"/>
          <xsd:enumeration value="Electronic Records"/>
          <xsd:enumeration value="Destruction of Records"/>
        </xsd:restriction>
      </xsd:simpleType>
    </xsd:element>
    <xsd:element name="Archive" ma:index="14" nillable="true" ma:displayName="Archive" ma:format="Dropdown" ma:internalName="Archive">
      <xsd:simpleType>
        <xsd:restriction base="dms:Choice">
          <xsd:enumeration value="Yes"/>
          <xsd:enumeration value="No"/>
        </xsd:restriction>
      </xsd:simpleType>
    </xsd:element>
    <xsd:element name="FieldName_BB56E94D_36BB_42AB_BB3E_2CADD83BC4D4_" ma:index="15" nillable="true" ma:displayName="ArchiveReason" ma:description="" ma:internalName="FieldName_BB56E94D_36BB_42AB_BB3E_2CADD83BC4D4_">
      <xsd:simpleType>
        <xsd:restriction base="dms:Note">
          <xsd:maxLength value="255"/>
        </xsd:restriction>
      </xsd:simpleType>
    </xsd:element>
    <xsd:element name="UnlockDoc" ma:index="16" nillable="true" ma:displayName="UnlockedPDF" ma:default="0" ma:description="Tick if this document is the editable version of a locked pdf document. If unsure, leave blank." ma:internalName="UnlockDoc">
      <xsd:simpleType>
        <xsd:restriction base="dms:Boolean"/>
      </xsd:simpleType>
    </xsd:element>
    <xsd:element name="n969f39183d44ba780f3b336867b7c78" ma:index="18" nillable="true" ma:taxonomy="true" ma:internalName="n969f39183d44ba780f3b336867b7c78" ma:taxonomyFieldName="Functional_x0020_Area" ma:displayName="Function" ma:readOnly="false" ma:default="" ma:fieldId="{7969f391-83d4-4ba7-80f3-b336867b7c78}" ma:sspId="f920e8af-2f06-4a36-ab3a-55ea7517f982" ma:termSetId="25e95fa1-6cc3-4a6d-ab1a-56488836df7d" ma:anchorId="00000000-0000-0000-0000-000000000000" ma:open="false" ma:isKeyword="false">
      <xsd:complexType>
        <xsd:sequence>
          <xsd:element ref="pc:Terms" minOccurs="0" maxOccurs="1"/>
        </xsd:sequence>
      </xsd:complexType>
    </xsd:element>
    <xsd:element name="ia81d4ae08224a7ebf86f376b18bee16" ma:index="19" nillable="true" ma:taxonomy="true" ma:internalName="ia81d4ae08224a7ebf86f376b18bee16" ma:taxonomyFieldName="Sub_x0020_System" ma:displayName="Sub System" ma:readOnly="false" ma:default="" ma:fieldId="{2a81d4ae-0822-4a7e-bf86-f376b18bee16}"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element name="p137ad41fdbd4c539b79d943fe694f99" ma:index="20" nillable="true" ma:taxonomy="true" ma:internalName="p137ad41fdbd4c539b79d943fe694f99" ma:taxonomyFieldName="System_x0020_Owner" ma:displayName="System Owner" ma:indexed="true" ma:readOnly="false" ma:default="" ma:fieldId="{9137ad41-fdbd-4c53-9b79-d943fe694f99}" ma:sspId="f920e8af-2f06-4a36-ab3a-55ea7517f982" ma:termSetId="3cfffd0e-6dde-45c5-ae28-9808b18de56b" ma:anchorId="00000000-0000-0000-0000-000000000000" ma:open="false" ma:isKeyword="false">
      <xsd:complexType>
        <xsd:sequence>
          <xsd:element ref="pc:Terms" minOccurs="0" maxOccurs="1"/>
        </xsd:sequence>
      </xsd:complexType>
    </xsd:element>
    <xsd:element name="TaxCatchAll" ma:index="21" nillable="true" ma:displayName="Taxonomy Catch All Column" ma:description="" ma:hidden="true" ma:list="{3a20fd83-1b1d-4d6c-965c-3923f93c33ee}" ma:internalName="TaxCatchAll" ma:readOnly="false" ma:showField="CatchAllData"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3a20fd83-1b1d-4d6c-965c-3923f93c33ee}" ma:internalName="TaxCatchAllLabel" ma:readOnly="true" ma:showField="CatchAllDataLabel"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Document_x0020_Version" ma:index="28" nillable="true" ma:displayName="Document Version" ma:description="Version of the controlled document" ma:hidden="true" ma:internalName="Document_x0020_Version" ma:readOnly="false" ma:percentage="FALSE">
      <xsd:simpleType>
        <xsd:restriction base="dms:Number"/>
      </xsd:simpleType>
    </xsd:element>
    <xsd:element name="p6cf7bba5261422eb8890e8ace6bbbe7" ma:index="31" nillable="true" ma:taxonomy="true" ma:internalName="p6cf7bba5261422eb8890e8ace6bbbe7" ma:taxonomyFieldName="Service_x0020_Area" ma:displayName="Care Service Area" ma:readOnly="false" ma:fieldId="{96cf7bba-5261-422e-b889-0e8ace6bbbe7}" ma:taxonomyMulti="true" ma:sspId="f920e8af-2f06-4a36-ab3a-55ea7517f982" ma:termSetId="b92e7b2b-54a8-4f8c-8d53-afacdeffe6bc" ma:anchorId="00000000-0000-0000-0000-000000000000" ma:open="false" ma:isKeyword="false">
      <xsd:complexType>
        <xsd:sequence>
          <xsd:element ref="pc:Terms" minOccurs="0" maxOccurs="1"/>
        </xsd:sequence>
      </xsd:complexType>
    </xsd:element>
    <xsd:element name="TaxKeywordTaxHTField" ma:index="32" nillable="true" ma:taxonomy="true" ma:internalName="TaxKeywordTaxHTField" ma:taxonomyFieldName="TaxKeyword" ma:displayName="Enterprise Keywords" ma:readOnly="false" ma:fieldId="{23f27201-bee3-471e-b2e7-b64fd8b7ca38}" ma:taxonomyMulti="true" ma:sspId="f920e8af-2f06-4a36-ab3a-55ea7517f982" ma:termSetId="00000000-0000-0000-0000-000000000000" ma:anchorId="00000000-0000-0000-0000-000000000000" ma:open="true" ma:isKeyword="true">
      <xsd:complexType>
        <xsd:sequence>
          <xsd:element ref="pc:Terms" minOccurs="0" maxOccurs="1"/>
        </xsd:sequence>
      </xsd:complexType>
    </xsd:element>
    <xsd:element name="b3bda1b9a85a45e3897e4599c9ed5c88" ma:index="33" nillable="true" ma:taxonomy="true" ma:internalName="b3bda1b9a85a45e3897e4599c9ed5c88" ma:taxonomyFieldName="Process" ma:displayName="Process" ma:readOnly="false" ma:default="" ma:fieldId="{b3bda1b9-a85a-45e3-897e-4599c9ed5c88}" ma:taxonomyMulti="true" ma:sspId="f920e8af-2f06-4a36-ab3a-55ea7517f982" ma:termSetId="f4c86322-e993-4078-a7c6-6e6b2074d956" ma:anchorId="00000000-0000-0000-0000-000000000000" ma:open="false" ma:isKeyword="false">
      <xsd:complexType>
        <xsd:sequence>
          <xsd:element ref="pc:Terms" minOccurs="0" maxOccurs="1"/>
        </xsd:sequence>
      </xsd:complexType>
    </xsd:element>
    <xsd:element name="Next_x0020_Review_x0020_Date" ma:index="35" nillable="true" ma:displayName="Next Review Date" ma:format="DateOnly" ma:hidden="true" ma:internalName="Next_x0020_Review_x0020_Date" ma:readOnly="false">
      <xsd:simpleType>
        <xsd:restriction base="dms:DateTime"/>
      </xsd:simpleType>
    </xsd:element>
    <xsd:element name="Review_x0020_Date" ma:index="36" nillable="true" ma:displayName="Review Date" ma:format="DateOnly" ma:hidden="true" ma:internalName="Review_x0020_Date" ma:readOnly="false">
      <xsd:simpleType>
        <xsd:restriction base="dms:DateTime"/>
      </xsd:simpleType>
    </xsd:element>
    <xsd:element name="Last_x0020_Review" ma:index="37" nillable="true" ma:displayName="Document Version Date" ma:format="DateOnly" ma:hidden="true" ma:internalName="Last_x0020_Review" ma:readOnly="false">
      <xsd:simpleType>
        <xsd:restriction base="dms:DateTime"/>
      </xsd:simpleType>
    </xsd:element>
    <xsd:element name="k221e2d50f1549aca25a6ab6dd011e9d" ma:index="38" nillable="true" ma:taxonomy="true" ma:internalName="k221e2d50f1549aca25a6ab6dd011e9d" ma:taxonomyFieldName="Care_x0020_Standard" ma:displayName="Care Standard" ma:readOnly="false" ma:default="" ma:fieldId="{4221e2d5-0f15-49ac-a25a-6ab6dd011e9d}" ma:taxonomyMulti="true" ma:sspId="f920e8af-2f06-4a36-ab3a-55ea7517f982" ma:termSetId="efb8c0e8-ee70-4287-b59c-2b7f83f16945" ma:anchorId="00000000-0000-0000-0000-000000000000" ma:open="false" ma:isKeyword="false">
      <xsd:complexType>
        <xsd:sequence>
          <xsd:element ref="pc:Terms" minOccurs="0" maxOccurs="1"/>
        </xsd:sequence>
      </xsd:complexType>
    </xsd:element>
    <xsd:element name="Related_x0020_Procedures" ma:index="40" nillable="true" ma:displayName="Related Procedures Archive" ma:hidden="true" ma:list="{94772183-b7c0-4d40-8933-e1a930ff070e}" ma:internalName="Related_x0020_Procedures"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a4a46c8e9a0a49eaa9001aec671631ff" ma:index="42" nillable="true" ma:taxonomy="true" ma:internalName="a4a46c8e9a0a49eaa9001aec671631ff" ma:taxonomyFieldName="Additional_x0020_Service_x0020_Types" ma:displayName="Additional Service Types" ma:readOnly="false" ma:fieldId="{a4a46c8e-9a0a-49ea-a900-1aec671631ff}"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7FDCA-7EBD-4FBD-AE30-E3734A0E2D38}">
  <ds:schemaRefs>
    <ds:schemaRef ds:uri="http://schemas.microsoft.com/sharepoint/events"/>
  </ds:schemaRefs>
</ds:datastoreItem>
</file>

<file path=customXml/itemProps2.xml><?xml version="1.0" encoding="utf-8"?>
<ds:datastoreItem xmlns:ds="http://schemas.openxmlformats.org/officeDocument/2006/customXml" ds:itemID="{24F05965-31B1-46FC-982B-10A456F384C2}">
  <ds:schemaRefs>
    <ds:schemaRef ds:uri="http://schemas.microsoft.com/sharepoint/v3/contenttype/forms"/>
  </ds:schemaRefs>
</ds:datastoreItem>
</file>

<file path=customXml/itemProps3.xml><?xml version="1.0" encoding="utf-8"?>
<ds:datastoreItem xmlns:ds="http://schemas.openxmlformats.org/officeDocument/2006/customXml" ds:itemID="{69943E54-E1E0-4BDF-8726-841D4527A1AB}">
  <ds:schemaRefs>
    <ds:schemaRef ds:uri="44a7cf9d-e1d3-4cde-832a-95b73fc4b484"/>
    <ds:schemaRef ds:uri="http://schemas.microsoft.com/office/infopath/2007/PartnerControl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9C808A3E-A30D-44E5-AE34-F2289B7ED424}"/>
</file>

<file path=customXml/itemProps5.xml><?xml version="1.0" encoding="utf-8"?>
<ds:datastoreItem xmlns:ds="http://schemas.openxmlformats.org/officeDocument/2006/customXml" ds:itemID="{D16FD709-8CE4-4A87-815B-B8044511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Information Sheet - External - HS</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and Eligibility Information Sheet - HS</dc:title>
  <dc:subject/>
  <dc:creator>Microsoft Office User</dc:creator>
  <cp:keywords/>
  <dc:description/>
  <cp:lastModifiedBy>Rebecca De Sousa</cp:lastModifiedBy>
  <cp:revision>4</cp:revision>
  <dcterms:created xsi:type="dcterms:W3CDTF">2025-02-20T03:53:00Z</dcterms:created>
  <dcterms:modified xsi:type="dcterms:W3CDTF">2025-05-05T04:00:00Z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Functional Area">
    <vt:lpwstr/>
  </property>
  <property fmtid="{D5CDD505-2E9C-101B-9397-08002B2CF9AE}" pid="4" name="Additional Service Types">
    <vt:lpwstr/>
  </property>
  <property fmtid="{D5CDD505-2E9C-101B-9397-08002B2CF9AE}" pid="5" name="Template Service">
    <vt:lpwstr>1827;#Housing Services|6893d2ef-c52f-4f66-859f-bc526a7f39e0</vt:lpwstr>
  </property>
  <property fmtid="{D5CDD505-2E9C-101B-9397-08002B2CF9AE}" pid="6" name="Care Standard">
    <vt:lpwstr/>
  </property>
  <property fmtid="{D5CDD505-2E9C-101B-9397-08002B2CF9AE}" pid="7" name="ContentTypeId">
    <vt:lpwstr>0x010100EF2EF123E9FE0248B550AA805597174401022200BB9C91098FDCE74DA4A1E4A1827C5383</vt:lpwstr>
  </property>
  <property fmtid="{D5CDD505-2E9C-101B-9397-08002B2CF9AE}" pid="8" name="Sub System">
    <vt:lpwstr>1791;#Housing Programs|ebd50e35-4fff-45f4-988c-dc83f5ed9775;#1151;#Affordable Living Housing|5199db11-6be9-46ff-b957-c7acf6b3b85e;#1149;#Caravan Park|bf681b4b-7ef9-49bf-9e25-33638f3eb0b6</vt:lpwstr>
  </property>
  <property fmtid="{D5CDD505-2E9C-101B-9397-08002B2CF9AE}" pid="9" name="System Owner">
    <vt:lpwstr>1146;#Housing Services|6893d2ef-c52f-4f66-859f-bc526a7f39e0</vt:lpwstr>
  </property>
  <property fmtid="{D5CDD505-2E9C-101B-9397-08002B2CF9AE}" pid="10" name="_dlc_DocIdItemGuid">
    <vt:lpwstr>fd458743-95c0-49a8-9a66-205b29ad998d</vt:lpwstr>
  </property>
  <property fmtid="{D5CDD505-2E9C-101B-9397-08002B2CF9AE}" pid="11" name="Process">
    <vt:lpwstr>2109;#Ongoing Eligibility|8f3b9788-ec2c-4741-9c23-b1fba429cc98</vt:lpwstr>
  </property>
  <property fmtid="{D5CDD505-2E9C-101B-9397-08002B2CF9AE}" pid="12" name="Policy Group">
    <vt:lpwstr>Unassigned</vt:lpwstr>
  </property>
  <property fmtid="{D5CDD505-2E9C-101B-9397-08002B2CF9AE}" pid="14" name="Approval Area1">
    <vt:lpwstr/>
  </property>
  <property fmtid="{D5CDD505-2E9C-101B-9397-08002B2CF9AE}" pid="15" name="Service Area">
    <vt:lpwstr/>
  </property>
  <property fmtid="{D5CDD505-2E9C-101B-9397-08002B2CF9AE}" pid="16" name="SharedWithUsers">
    <vt:lpwstr>178;#Damian McComb;#142;#Dee Troy;#600;#Rebecca De Sousa;#350;#Karen Bozier;#214;#Arlene Lewis</vt:lpwstr>
  </property>
  <property fmtid="{D5CDD505-2E9C-101B-9397-08002B2CF9AE}" pid="17" name="Perspective">
    <vt:lpwstr>Unassigned</vt:lpwstr>
  </property>
  <property fmtid="{D5CDD505-2E9C-101B-9397-08002B2CF9AE}" pid="18" name="Service Stream">
    <vt:lpwstr>Unassigned</vt:lpwstr>
  </property>
  <property fmtid="{D5CDD505-2E9C-101B-9397-08002B2CF9AE}" pid="19" name="Process - Organisational">
    <vt:lpwstr>Unassigned</vt:lpwstr>
  </property>
  <property fmtid="{D5CDD505-2E9C-101B-9397-08002B2CF9AE}" pid="20" name="System - Organisational">
    <vt:lpwstr>Unassigned</vt:lpwstr>
  </property>
  <property fmtid="{D5CDD505-2E9C-101B-9397-08002B2CF9AE}" pid="21" name="Process Sequence">
    <vt:lpwstr>Unassigned</vt:lpwstr>
  </property>
  <property fmtid="{D5CDD505-2E9C-101B-9397-08002B2CF9AE}" pid="22" name="Division">
    <vt:lpwstr>Unassigned</vt:lpwstr>
  </property>
  <property fmtid="{D5CDD505-2E9C-101B-9397-08002B2CF9AE}" pid="23" name="Approval Area">
    <vt:lpwstr>Housing Services</vt:lpwstr>
  </property>
  <property fmtid="{D5CDD505-2E9C-101B-9397-08002B2CF9AE}" pid="24" name="Additional Service Type">
    <vt:lpwstr/>
  </property>
  <property fmtid="{D5CDD505-2E9C-101B-9397-08002B2CF9AE}" pid="25" name="3 year review">
    <vt:filetime>2018-06-30T14:00:00Z</vt:filetime>
  </property>
  <property fmtid="{D5CDD505-2E9C-101B-9397-08002B2CF9AE}" pid="26" name="d82d0db5ae8f44e8bb1947c653304b41">
    <vt:lpwstr/>
  </property>
  <property fmtid="{D5CDD505-2E9C-101B-9397-08002B2CF9AE}" pid="27" name="Template Type">
    <vt:lpwstr>Information Sheet</vt:lpwstr>
  </property>
  <property fmtid="{D5CDD505-2E9C-101B-9397-08002B2CF9AE}" pid="28" name="e538eacd8ff24c26b07681822b9b3d0a">
    <vt:lpwstr>Housing Services|6893d2ef-c52f-4f66-859f-bc526a7f39e0</vt:lpwstr>
  </property>
</Properties>
</file>