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0C4EDA44" w14:textId="77777777" w:rsidR="00EE118B" w:rsidRDefault="00EE118B" w:rsidP="00EE118B"/>
    <w:p w14:paraId="1818DB92" w14:textId="77777777" w:rsidR="00FB107C" w:rsidRDefault="00FB107C" w:rsidP="00EE118B"/>
    <w:p w14:paraId="469E454D" w14:textId="77777777" w:rsidR="00FB107C" w:rsidRDefault="00FB107C" w:rsidP="00EE118B"/>
    <w:p w14:paraId="563B5A00" w14:textId="19BC7266" w:rsidR="004F3255" w:rsidRPr="0021184F" w:rsidRDefault="0021184F" w:rsidP="0021184F">
      <w:pPr>
        <w:pStyle w:val="Titlelinkedtofooter"/>
        <w:spacing w:before="120" w:after="240"/>
        <w:rPr>
          <w:color w:val="auto"/>
        </w:rPr>
      </w:pPr>
      <w:r w:rsidRPr="0021184F">
        <w:rPr>
          <w:color w:val="auto"/>
        </w:rPr>
        <w:t>Rental Bonds.</w:t>
      </w:r>
    </w:p>
    <w:p w14:paraId="007A853C" w14:textId="627CECDE" w:rsidR="0021184F" w:rsidRDefault="0021184F" w:rsidP="00CB6F0C">
      <w:pPr>
        <w:jc w:val="both"/>
        <w:rPr>
          <w:b/>
          <w:bCs/>
          <w:color w:val="505A41" w:themeColor="accent4"/>
          <w:sz w:val="24"/>
        </w:rPr>
      </w:pPr>
      <w:r w:rsidRPr="0021184F">
        <w:rPr>
          <w:b/>
          <w:bCs/>
          <w:color w:val="505A41" w:themeColor="accent4"/>
          <w:sz w:val="24"/>
        </w:rPr>
        <w:t>A rental bond is a security deposit equivalent to four weeks rent paid at the start of your tenancy. The rental bond is paid to, and held by, the Residential Tenancies Authority (RTA). Churches of Christ Housing Services does not hold any bond monies.</w:t>
      </w:r>
    </w:p>
    <w:p w14:paraId="1876028F" w14:textId="77777777" w:rsidR="0021184F" w:rsidRDefault="0021184F" w:rsidP="00CB6F0C">
      <w:pPr>
        <w:jc w:val="both"/>
      </w:pPr>
      <w:r>
        <w:t xml:space="preserve">If your rent increases during your tenancy, the bond required may increase as well, in order to equal four weeks of your new rent amount. </w:t>
      </w:r>
    </w:p>
    <w:p w14:paraId="024CD9B5" w14:textId="77777777" w:rsidR="0021184F" w:rsidRDefault="0021184F" w:rsidP="00CB6F0C">
      <w:pPr>
        <w:jc w:val="both"/>
      </w:pPr>
      <w:r>
        <w:t xml:space="preserve">The bond is paid back to you when you vacate your property provided no money is owed to Churches of Christ Housing Services for rent, damages or other costs. </w:t>
      </w:r>
    </w:p>
    <w:p w14:paraId="5948993E" w14:textId="2785D429" w:rsidR="0021184F" w:rsidRDefault="0021184F" w:rsidP="00CB6F0C">
      <w:pPr>
        <w:jc w:val="both"/>
      </w:pPr>
      <w:r>
        <w:t>If you rec</w:t>
      </w:r>
      <w:bookmarkStart w:id="0" w:name="_GoBack"/>
      <w:bookmarkEnd w:id="0"/>
      <w:r>
        <w:t>eived a bond loan from the Department of Housing</w:t>
      </w:r>
      <w:r w:rsidR="00E63CCF">
        <w:t xml:space="preserve"> (DOH),</w:t>
      </w:r>
      <w:r>
        <w:t xml:space="preserve"> any amount owing on the bond loan when you vacate the property will be paid out to the D</w:t>
      </w:r>
      <w:r w:rsidR="00E63CCF">
        <w:t>OH</w:t>
      </w:r>
      <w:r>
        <w:t xml:space="preserve"> before any balance being paid to you.</w:t>
      </w:r>
    </w:p>
    <w:p w14:paraId="18E4F097" w14:textId="77777777" w:rsidR="0021184F" w:rsidRDefault="0021184F" w:rsidP="00CB6F0C">
      <w:pPr>
        <w:jc w:val="both"/>
      </w:pPr>
      <w:r>
        <w:t xml:space="preserve">If you are unable to pay your bond in full upfront, you can pay off the bond in instalments over an agreed period of time. Contact your housing officer for more </w:t>
      </w:r>
      <w:proofErr w:type="spellStart"/>
      <w:r>
        <w:t>information.</w:t>
      </w:r>
    </w:p>
    <w:p w14:paraId="5B4FF9B3" w14:textId="77777777" w:rsidR="0021184F" w:rsidRPr="0021184F" w:rsidRDefault="0021184F" w:rsidP="0021184F">
      <w:pPr>
        <w:rPr>
          <w:b/>
          <w:sz w:val="24"/>
        </w:rPr>
      </w:pPr>
      <w:proofErr w:type="spellEnd"/>
      <w:r w:rsidRPr="0021184F">
        <w:rPr>
          <w:b/>
          <w:sz w:val="24"/>
        </w:rPr>
        <w:t>Lodging or increasing your bond</w:t>
      </w:r>
    </w:p>
    <w:p w14:paraId="3223AA08" w14:textId="77777777" w:rsidR="0021184F" w:rsidRPr="00DB3E0B" w:rsidRDefault="0021184F" w:rsidP="00DB3E0B">
      <w:pPr>
        <w:pStyle w:val="Heading3"/>
        <w:spacing w:after="40"/>
        <w:rPr>
          <w:b/>
          <w:color w:val="778A53" w:themeColor="accent3"/>
          <w:sz w:val="22"/>
        </w:rPr>
      </w:pPr>
      <w:r w:rsidRPr="00DB3E0B">
        <w:rPr>
          <w:b/>
          <w:color w:val="778A53" w:themeColor="accent3"/>
          <w:sz w:val="22"/>
        </w:rPr>
        <w:t>Online Services</w:t>
      </w:r>
    </w:p>
    <w:p w14:paraId="15E6A645" w14:textId="3AD007CF" w:rsidR="00DB3E0B" w:rsidRDefault="00DB3E0B" w:rsidP="00CB6F0C">
      <w:pPr>
        <w:jc w:val="both"/>
      </w:pPr>
      <w:r>
        <w:t xml:space="preserve">The RTA offers an online service for bond lodgements and part lodgements e.g. bond increases, via its website </w:t>
      </w:r>
      <w:hyperlink r:id="rId11" w:history="1">
        <w:r w:rsidRPr="00134079">
          <w:rPr>
            <w:rStyle w:val="Hyperlink"/>
          </w:rPr>
          <w:t>www.rta.qld.gov.au</w:t>
        </w:r>
      </w:hyperlink>
      <w:r>
        <w:t xml:space="preserve">. </w:t>
      </w:r>
    </w:p>
    <w:p w14:paraId="4C8573D1" w14:textId="77777777" w:rsidR="00DB3E0B" w:rsidRDefault="00DB3E0B" w:rsidP="00DB3E0B">
      <w:r>
        <w:t>To access the online services to lodge or increase a bond, you will need the following:</w:t>
      </w:r>
    </w:p>
    <w:p w14:paraId="36B8EF18" w14:textId="2CCE610D" w:rsidR="00DB3E0B" w:rsidRDefault="00DB3E0B" w:rsidP="00F35627">
      <w:pPr>
        <w:pStyle w:val="Bullet1"/>
        <w:spacing w:before="60" w:after="60"/>
        <w:jc w:val="both"/>
      </w:pPr>
      <w:r w:rsidRPr="00DB3E0B">
        <w:rPr>
          <w:i/>
        </w:rPr>
        <w:t>Names and unique email addresses of all tenants contributing to the bond</w:t>
      </w:r>
      <w:r>
        <w:t>. This means each tenant must have their own email address. The RTA online service does not accept shared email addresses.</w:t>
      </w:r>
    </w:p>
    <w:p w14:paraId="6FB94136" w14:textId="7E920033" w:rsidR="00DB3E0B" w:rsidRDefault="00DB3E0B" w:rsidP="00F35627">
      <w:pPr>
        <w:pStyle w:val="Bullet1"/>
        <w:spacing w:before="60" w:after="60"/>
        <w:jc w:val="both"/>
      </w:pPr>
      <w:r w:rsidRPr="00DB3E0B">
        <w:rPr>
          <w:i/>
        </w:rPr>
        <w:t>QGOV login details</w:t>
      </w:r>
      <w:r>
        <w:t>. A link is available on the RTA website for you to create a QGOV login if you do not have one. Be aware that you will require 100 points of identification.</w:t>
      </w:r>
    </w:p>
    <w:p w14:paraId="31079820" w14:textId="414F118E" w:rsidR="00DB3E0B" w:rsidRDefault="00DB3E0B" w:rsidP="00F35627">
      <w:pPr>
        <w:pStyle w:val="Bullet1"/>
        <w:spacing w:before="60" w:after="60"/>
        <w:jc w:val="both"/>
      </w:pPr>
      <w:r w:rsidRPr="00DB3E0B">
        <w:rPr>
          <w:i/>
        </w:rPr>
        <w:t>The rental property address and details of the managing agent</w:t>
      </w:r>
      <w:r>
        <w:t xml:space="preserve">. </w:t>
      </w:r>
      <w:r w:rsidRPr="00DB3E0B">
        <w:rPr>
          <w:b/>
        </w:rPr>
        <w:t>Churches of Christ Housing Services</w:t>
      </w:r>
      <w:r>
        <w:t xml:space="preserve"> is your managing agent – </w:t>
      </w:r>
      <w:r w:rsidRPr="00DB3E0B">
        <w:rPr>
          <w:b/>
        </w:rPr>
        <w:t>RTA ID 000019664</w:t>
      </w:r>
      <w:r>
        <w:t xml:space="preserve">. Churches of Christ Housing </w:t>
      </w:r>
      <w:r w:rsidR="000E5ED5">
        <w:t>S</w:t>
      </w:r>
      <w:r>
        <w:t xml:space="preserve">ervices is classified as an </w:t>
      </w:r>
      <w:r w:rsidRPr="000E5ED5">
        <w:rPr>
          <w:b/>
        </w:rPr>
        <w:t>exempt provider</w:t>
      </w:r>
      <w:r>
        <w:t xml:space="preserve"> under legislatio</w:t>
      </w:r>
      <w:r w:rsidR="000E5ED5">
        <w:t>n.</w:t>
      </w:r>
    </w:p>
    <w:p w14:paraId="0B63BF7F" w14:textId="4F07E0C0" w:rsidR="00DB3E0B" w:rsidRDefault="00DB3E0B" w:rsidP="00F35627">
      <w:pPr>
        <w:pStyle w:val="Bullet1"/>
        <w:spacing w:before="60" w:after="60"/>
        <w:jc w:val="both"/>
      </w:pPr>
      <w:r w:rsidRPr="000E5ED5">
        <w:rPr>
          <w:i/>
        </w:rPr>
        <w:t>Your credit/debit card for payment</w:t>
      </w:r>
      <w:r>
        <w:t xml:space="preserve">. There is also a </w:t>
      </w:r>
      <w:proofErr w:type="spellStart"/>
      <w:r>
        <w:t>BPay</w:t>
      </w:r>
      <w:proofErr w:type="spellEnd"/>
      <w:r>
        <w:t xml:space="preserve"> option if you prefer.</w:t>
      </w:r>
    </w:p>
    <w:p w14:paraId="0CB623A3" w14:textId="6E7B46B4" w:rsidR="00DB3E0B" w:rsidRDefault="00DB3E0B" w:rsidP="00F35627">
      <w:pPr>
        <w:pStyle w:val="Bullet1"/>
        <w:spacing w:before="60"/>
        <w:jc w:val="both"/>
      </w:pPr>
      <w:r w:rsidRPr="000E5ED5">
        <w:rPr>
          <w:i/>
        </w:rPr>
        <w:t>Your bond number</w:t>
      </w:r>
      <w:r>
        <w:t>. This is for bond increases or part lodgements only.</w:t>
      </w:r>
    </w:p>
    <w:p w14:paraId="382D3D3B" w14:textId="77777777" w:rsidR="00DB3E0B" w:rsidRDefault="00DB3E0B" w:rsidP="00CB6F0C">
      <w:pPr>
        <w:jc w:val="both"/>
      </w:pPr>
      <w:r>
        <w:t>If you are a new tenant, and have lodged your bond via the RTA online services, you will need to bring along evidence of the payment to your lease signing appointment.</w:t>
      </w:r>
    </w:p>
    <w:p w14:paraId="23773643" w14:textId="77777777" w:rsidR="00010234" w:rsidRPr="00010234" w:rsidRDefault="00010234" w:rsidP="00010234">
      <w:pPr>
        <w:pStyle w:val="Heading3"/>
        <w:spacing w:after="40"/>
        <w:rPr>
          <w:b/>
          <w:color w:val="778A53" w:themeColor="accent3"/>
          <w:sz w:val="22"/>
        </w:rPr>
      </w:pPr>
      <w:r w:rsidRPr="00010234">
        <w:rPr>
          <w:b/>
          <w:color w:val="778A53" w:themeColor="accent3"/>
          <w:sz w:val="22"/>
        </w:rPr>
        <w:t>Manual Lodgements</w:t>
      </w:r>
    </w:p>
    <w:p w14:paraId="6DB09318" w14:textId="0B69F0C7" w:rsidR="00010234" w:rsidRDefault="00010234" w:rsidP="00CB6F0C">
      <w:pPr>
        <w:jc w:val="both"/>
      </w:pPr>
      <w:r>
        <w:t>If you do not have an email address or sufficient Australian issued identification (100 points) to create a QGOV account, you will need to make your bond payment by cheque or money order (</w:t>
      </w:r>
      <w:r w:rsidRPr="00010234">
        <w:rPr>
          <w:i/>
        </w:rPr>
        <w:t>ensuring it is made payable to the RTA and not Churches of Christ Housing Services</w:t>
      </w:r>
      <w:r>
        <w:t xml:space="preserve">) and sending it, along with the RTA Bond lodgement form, via post to: </w:t>
      </w:r>
    </w:p>
    <w:p w14:paraId="2A07E58C" w14:textId="77777777" w:rsidR="00010234" w:rsidRPr="00010234" w:rsidRDefault="00010234" w:rsidP="00010234">
      <w:pPr>
        <w:spacing w:after="0"/>
        <w:rPr>
          <w:b/>
        </w:rPr>
      </w:pPr>
      <w:r w:rsidRPr="00010234">
        <w:rPr>
          <w:b/>
        </w:rPr>
        <w:t>Residential Tenancies Authority</w:t>
      </w:r>
    </w:p>
    <w:p w14:paraId="0BFE0002" w14:textId="77777777" w:rsidR="00010234" w:rsidRPr="00010234" w:rsidRDefault="00010234" w:rsidP="00010234">
      <w:pPr>
        <w:spacing w:after="0"/>
        <w:rPr>
          <w:b/>
        </w:rPr>
      </w:pPr>
      <w:r w:rsidRPr="00010234">
        <w:rPr>
          <w:b/>
        </w:rPr>
        <w:t>GPO Box 390</w:t>
      </w:r>
    </w:p>
    <w:p w14:paraId="2A52FF88" w14:textId="77777777" w:rsidR="00010234" w:rsidRPr="00010234" w:rsidRDefault="00010234" w:rsidP="00010234">
      <w:pPr>
        <w:spacing w:after="0"/>
        <w:rPr>
          <w:b/>
        </w:rPr>
      </w:pPr>
      <w:r w:rsidRPr="00010234">
        <w:rPr>
          <w:b/>
        </w:rPr>
        <w:t>Brisbane Q 4001</w:t>
      </w:r>
    </w:p>
    <w:p w14:paraId="4D21BDBA" w14:textId="77777777" w:rsidR="00010234" w:rsidRDefault="00010234" w:rsidP="00CB6F0C">
      <w:pPr>
        <w:spacing w:before="120"/>
        <w:jc w:val="both"/>
      </w:pPr>
      <w:r>
        <w:t>Alternatively, you may attend your closest Churches of Christ Housing Services office with the cheque or money order and we will post it, along with the completed bond lodgement form, to the RTA on your behalf.</w:t>
      </w:r>
    </w:p>
    <w:p w14:paraId="0E498C4B" w14:textId="77777777" w:rsidR="00010234" w:rsidRDefault="00010234" w:rsidP="00CB6F0C">
      <w:pPr>
        <w:jc w:val="both"/>
      </w:pPr>
      <w:r>
        <w:lastRenderedPageBreak/>
        <w:t>If you are a new tenant, you can bring your cheque or money order for bond to the lease signing appointment and complete the bond lodgement form with the housing officer who can then send it to the RTA on your behalf.</w:t>
      </w:r>
    </w:p>
    <w:p w14:paraId="6F44DE9A" w14:textId="77777777" w:rsidR="00010234" w:rsidRPr="00010234" w:rsidRDefault="00010234" w:rsidP="00010234">
      <w:pPr>
        <w:rPr>
          <w:b/>
          <w:sz w:val="24"/>
        </w:rPr>
      </w:pPr>
      <w:r w:rsidRPr="00010234">
        <w:rPr>
          <w:b/>
          <w:sz w:val="24"/>
        </w:rPr>
        <w:t>Bond Refunds</w:t>
      </w:r>
    </w:p>
    <w:p w14:paraId="0AFCFE79" w14:textId="77777777" w:rsidR="00010234" w:rsidRPr="00DB5FC0" w:rsidRDefault="00010234" w:rsidP="00DB5FC0">
      <w:pPr>
        <w:pStyle w:val="Heading3"/>
        <w:spacing w:after="40"/>
        <w:rPr>
          <w:b/>
          <w:color w:val="778A53" w:themeColor="accent3"/>
          <w:sz w:val="22"/>
        </w:rPr>
      </w:pPr>
      <w:r w:rsidRPr="00DB5FC0">
        <w:rPr>
          <w:b/>
          <w:color w:val="778A53" w:themeColor="accent3"/>
          <w:sz w:val="22"/>
        </w:rPr>
        <w:t>Online Services</w:t>
      </w:r>
    </w:p>
    <w:p w14:paraId="41A9ED0B" w14:textId="77777777" w:rsidR="00010234" w:rsidRDefault="00010234" w:rsidP="00CB6F0C">
      <w:pPr>
        <w:jc w:val="both"/>
      </w:pPr>
      <w:r>
        <w:t xml:space="preserve">The RTA also provides an online service for bond refunds in an effort to ‘fast track’ refunds to you and/or Churches of Christ Housing Services if there are outstanding amounts owed for rent, damages or other costs. </w:t>
      </w:r>
    </w:p>
    <w:p w14:paraId="2EF7964A" w14:textId="77777777" w:rsidR="00010234" w:rsidRDefault="00010234" w:rsidP="00010234">
      <w:r>
        <w:t>As with lodging your bond, access to the online services for refunds requires:</w:t>
      </w:r>
    </w:p>
    <w:p w14:paraId="6B4D5FCF" w14:textId="180AA91A" w:rsidR="00010234" w:rsidRDefault="00010234" w:rsidP="00DB5FC0">
      <w:pPr>
        <w:pStyle w:val="Bullet1"/>
        <w:spacing w:before="60" w:after="60"/>
      </w:pPr>
      <w:r w:rsidRPr="00DB5FC0">
        <w:rPr>
          <w:i/>
        </w:rPr>
        <w:t>Names and unique email addresses of all tenants contributing to the bond</w:t>
      </w:r>
      <w:r>
        <w:t>. This means each tenant must have their own email address. The RTA online service does not accept shared email addresses.</w:t>
      </w:r>
    </w:p>
    <w:p w14:paraId="12617A9E" w14:textId="3866FBED" w:rsidR="00010234" w:rsidRDefault="00010234" w:rsidP="00DB5FC0">
      <w:pPr>
        <w:pStyle w:val="Bullet1"/>
        <w:spacing w:before="60" w:after="60"/>
      </w:pPr>
      <w:r w:rsidRPr="00DB5FC0">
        <w:rPr>
          <w:i/>
        </w:rPr>
        <w:t>QGOV login details</w:t>
      </w:r>
      <w:r>
        <w:t>. A link is available on the RTA website for you to create a QGOV login if you do not have one. Be aware that you will require 100 points of identification.</w:t>
      </w:r>
    </w:p>
    <w:p w14:paraId="40A9C0F6" w14:textId="77777777" w:rsidR="00010234" w:rsidRDefault="00010234" w:rsidP="00010234">
      <w:r>
        <w:t>You will also need the following information:</w:t>
      </w:r>
    </w:p>
    <w:p w14:paraId="4B5C74BC" w14:textId="3AFBB46A" w:rsidR="00010234" w:rsidRDefault="00010234" w:rsidP="00DB5FC0">
      <w:pPr>
        <w:pStyle w:val="Bullet1"/>
        <w:spacing w:before="60" w:after="60"/>
      </w:pPr>
      <w:r>
        <w:t>Your bond number</w:t>
      </w:r>
    </w:p>
    <w:p w14:paraId="34F72232" w14:textId="37A823D4" w:rsidR="00010234" w:rsidRDefault="00010234" w:rsidP="00DB5FC0">
      <w:pPr>
        <w:pStyle w:val="Bullet1"/>
        <w:spacing w:before="60" w:after="60"/>
      </w:pPr>
      <w:r>
        <w:t>The vacate or handover date</w:t>
      </w:r>
    </w:p>
    <w:p w14:paraId="696C1968" w14:textId="77777777" w:rsidR="00DB5FC0" w:rsidRDefault="00010234" w:rsidP="00DB5FC0">
      <w:pPr>
        <w:pStyle w:val="Bullet1"/>
        <w:spacing w:before="60"/>
      </w:pPr>
      <w:r>
        <w:t>Your bank account details.</w:t>
      </w:r>
    </w:p>
    <w:p w14:paraId="30290696" w14:textId="77777777" w:rsidR="00DB5FC0" w:rsidRPr="00DB5FC0" w:rsidRDefault="00DB5FC0" w:rsidP="00DB5FC0">
      <w:pPr>
        <w:pStyle w:val="Heading3"/>
        <w:spacing w:after="40"/>
        <w:rPr>
          <w:b/>
          <w:color w:val="778A53" w:themeColor="accent3"/>
          <w:sz w:val="22"/>
        </w:rPr>
      </w:pPr>
      <w:r w:rsidRPr="00DB5FC0">
        <w:rPr>
          <w:b/>
          <w:color w:val="778A53" w:themeColor="accent3"/>
          <w:sz w:val="22"/>
        </w:rPr>
        <w:t>Manual Refunds</w:t>
      </w:r>
    </w:p>
    <w:p w14:paraId="55886D7F" w14:textId="77777777" w:rsidR="00DB5FC0" w:rsidRDefault="00DB5FC0" w:rsidP="00CB6F0C">
      <w:pPr>
        <w:jc w:val="both"/>
      </w:pPr>
      <w:r w:rsidRPr="00DB5FC0">
        <w:t>If you do not have an email address or sufficient Australian issued identification (100 points) to create a QGOV account, you can still complete the paper-based Bond Refund form and send it to the postal address above. Please note: the RTA will not accept photocopies, or where alterations have been made to the form e.g. correction fluid used.</w:t>
      </w:r>
    </w:p>
    <w:p w14:paraId="361EE971" w14:textId="77777777" w:rsidR="000C19EE" w:rsidRPr="000C19EE" w:rsidRDefault="000C19EE" w:rsidP="00010234">
      <w:pPr>
        <w:rPr>
          <w:b/>
          <w:sz w:val="24"/>
        </w:rPr>
      </w:pPr>
      <w:r w:rsidRPr="000C19EE">
        <w:rPr>
          <w:b/>
          <w:sz w:val="24"/>
        </w:rPr>
        <w:t>Resources</w:t>
      </w:r>
    </w:p>
    <w:p w14:paraId="15D66A88" w14:textId="3C7E64C0" w:rsidR="00EE118B" w:rsidRPr="00A32C42" w:rsidRDefault="000C19EE" w:rsidP="00CB6F0C">
      <w:pPr>
        <w:jc w:val="both"/>
      </w:pPr>
      <w:r w:rsidRPr="000C19EE">
        <w:t xml:space="preserve">Your housing officer is available to assist you, where possible, should you need assistance with using the RTA’s online services or completing a paper-based bond form. The RTA can also be contacted directly on 1300 366 311 for further guidance. The RTA website </w:t>
      </w:r>
      <w:hyperlink r:id="rId12" w:history="1">
        <w:r w:rsidR="00CB6F0C" w:rsidRPr="00134079">
          <w:rPr>
            <w:rStyle w:val="Hyperlink"/>
          </w:rPr>
          <w:t>www.rta.qld.gov.au</w:t>
        </w:r>
      </w:hyperlink>
      <w:r w:rsidR="00CB6F0C">
        <w:t xml:space="preserve"> </w:t>
      </w:r>
      <w:r w:rsidRPr="000C19EE">
        <w:t>also has a number of ‘Quick guides for tenants’ to help you navigate its online services as well as a substantial ‘Frequently Asked Questions’ section.</w:t>
      </w:r>
    </w:p>
    <w:sectPr w:rsidR="00EE118B" w:rsidRPr="00A32C42" w:rsidSect="00EE118B">
      <w:headerReference w:type="default" r:id="rId13"/>
      <w:footerReference w:type="default" r:id="rId14"/>
      <w:headerReference w:type="first" r:id="rId15"/>
      <w:footerReference w:type="first" r:id="rId16"/>
      <w:pgSz w:w="11906" w:h="16838"/>
      <w:pgMar w:top="1617" w:right="680" w:bottom="1134" w:left="680"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04D77" w14:textId="77777777" w:rsidR="00F414A8" w:rsidRDefault="00F414A8" w:rsidP="00EE118B">
      <w:r>
        <w:separator/>
      </w:r>
    </w:p>
    <w:p w14:paraId="7A28AEA9" w14:textId="77777777" w:rsidR="00F414A8" w:rsidRDefault="00F414A8" w:rsidP="00EE118B"/>
  </w:endnote>
  <w:endnote w:type="continuationSeparator" w:id="0">
    <w:p w14:paraId="6B783388" w14:textId="77777777" w:rsidR="00F414A8" w:rsidRDefault="00F414A8" w:rsidP="00EE118B">
      <w:r>
        <w:continuationSeparator/>
      </w:r>
    </w:p>
    <w:p w14:paraId="7D5DE588" w14:textId="77777777" w:rsidR="00F414A8" w:rsidRDefault="00F414A8"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rPr>
        <w:color w:val="FFFEFE" w:themeColor="background2"/>
      </w:rPr>
    </w:sdtEnd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67456" behindDoc="1" locked="0" layoutInCell="1" allowOverlap="1" wp14:anchorId="31D42BD9" wp14:editId="7FE72761">
                  <wp:simplePos x="0" y="0"/>
                  <wp:positionH relativeFrom="column">
                    <wp:posOffset>-439535</wp:posOffset>
                  </wp:positionH>
                  <wp:positionV relativeFrom="page">
                    <wp:posOffset>10185400</wp:posOffset>
                  </wp:positionV>
                  <wp:extent cx="7560000" cy="540000"/>
                  <wp:effectExtent l="0" t="0" r="0" b="635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D8613" id="Rectangle 7" o:spid="_x0000_s1026" style="position:absolute;margin-left:-34.6pt;margin-top:802pt;width:595.3pt;height: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" fillcolor="#778a53 [3206]" stroked="f" strokeweight="1pt">
                  <w10:wrap anchory="page"/>
                </v:rect>
              </w:pict>
            </mc:Fallback>
          </mc:AlternateContent>
        </w:r>
        <w:r w:rsidR="003D4A29" w:rsidRPr="005B7A59">
          <w:t xml:space="preserve"> </w:t>
        </w:r>
      </w:p>
      <w:p w14:paraId="12E29F3A" w14:textId="6BF3E179" w:rsidR="003D4A29" w:rsidRPr="008A16CD" w:rsidRDefault="00E375DD" w:rsidP="00EE118B">
        <w:pPr>
          <w:pStyle w:val="Footer"/>
          <w:rPr>
            <w:color w:val="FFFEFE" w:themeColor="background2"/>
          </w:rPr>
        </w:pPr>
        <w:r w:rsidRPr="008A16CD">
          <w:rPr>
            <w:rFonts w:eastAsiaTheme="minorHAnsi"/>
            <w:color w:val="FFFEFE" w:themeColor="background2"/>
          </w:rPr>
          <w:fldChar w:fldCharType="begin"/>
        </w:r>
        <w:r w:rsidRPr="008A16CD">
          <w:rPr>
            <w:rFonts w:eastAsiaTheme="minorHAnsi"/>
            <w:color w:val="FFFEFE" w:themeColor="background2"/>
          </w:rPr>
          <w:instrText xml:space="preserve"> STYLEREF  "Title linked to footer"  \* MERGEFORMAT </w:instrText>
        </w:r>
        <w:r w:rsidRPr="008A16CD">
          <w:rPr>
            <w:rFonts w:eastAsiaTheme="minorHAnsi"/>
            <w:color w:val="FFFEFE" w:themeColor="background2"/>
          </w:rPr>
          <w:fldChar w:fldCharType="separate"/>
        </w:r>
        <w:r w:rsidR="00F35627">
          <w:rPr>
            <w:rFonts w:eastAsiaTheme="minorHAnsi"/>
            <w:noProof/>
            <w:color w:val="FFFEFE" w:themeColor="background2"/>
          </w:rPr>
          <w:t>Rental Bonds.</w:t>
        </w:r>
        <w:r w:rsidRPr="008A16CD">
          <w:rPr>
            <w:rFonts w:eastAsiaTheme="minorHAnsi"/>
            <w:color w:val="FFFEFE" w:themeColor="background2"/>
          </w:rPr>
          <w:fldChar w:fldCharType="end"/>
        </w:r>
        <w:r w:rsidR="003328D0" w:rsidRPr="008A16CD">
          <w:rPr>
            <w:rFonts w:eastAsiaTheme="minorHAnsi"/>
            <w:color w:val="FFFEFE" w:themeColor="background2"/>
          </w:rPr>
          <w:t xml:space="preserve">  </w:t>
        </w:r>
        <w:r w:rsidRPr="000C19EE">
          <w:rPr>
            <w:color w:val="000000"/>
          </w:rPr>
          <w:t xml:space="preserve">Version </w:t>
        </w:r>
        <w:r w:rsidR="000C19EE">
          <w:rPr>
            <w:color w:val="000000"/>
          </w:rPr>
          <w:t>2</w:t>
        </w:r>
        <w:r w:rsidRPr="000C19EE">
          <w:rPr>
            <w:color w:val="000000"/>
          </w:rPr>
          <w:t>.</w:t>
        </w:r>
        <w:r w:rsidR="000C19EE">
          <w:rPr>
            <w:color w:val="000000"/>
          </w:rPr>
          <w:t>1</w:t>
        </w:r>
        <w:r w:rsidRPr="000C19EE">
          <w:rPr>
            <w:color w:val="000000"/>
          </w:rPr>
          <w:t xml:space="preserve"> as at </w:t>
        </w:r>
        <w:r w:rsidR="000C19EE">
          <w:rPr>
            <w:color w:val="000000"/>
          </w:rPr>
          <w:t>19</w:t>
        </w:r>
        <w:r w:rsidRPr="000C19EE">
          <w:rPr>
            <w:color w:val="000000"/>
          </w:rPr>
          <w:t>/0</w:t>
        </w:r>
        <w:r w:rsidR="000C19EE">
          <w:rPr>
            <w:color w:val="000000"/>
          </w:rPr>
          <w:t>6</w:t>
        </w:r>
        <w:r w:rsidRPr="000C19EE">
          <w:rPr>
            <w:color w:val="000000"/>
          </w:rPr>
          <w:t>/</w:t>
        </w:r>
        <w:r w:rsidR="000C19EE">
          <w:rPr>
            <w:color w:val="000000"/>
          </w:rPr>
          <w:t>24</w:t>
        </w:r>
        <w:r w:rsidR="003A75B4">
          <w:rPr>
            <w:color w:val="FFFEFE" w:themeColor="background2"/>
          </w:rPr>
          <w:tab/>
        </w:r>
        <w:r w:rsidR="00401EB3" w:rsidRPr="008A16CD">
          <w:rPr>
            <w:color w:val="FFFEFE" w:themeColor="background2"/>
          </w:rPr>
          <w:tab/>
        </w:r>
        <w:r w:rsidR="00401EB3" w:rsidRPr="008A16CD">
          <w:rPr>
            <w:color w:val="FFFEFE" w:themeColor="background2"/>
          </w:rPr>
          <w:tab/>
          <w:t xml:space="preserve">         </w:t>
        </w:r>
        <w:r w:rsidR="003D4A29" w:rsidRPr="008A16CD">
          <w:rPr>
            <w:bCs/>
            <w:color w:val="FFFEFE" w:themeColor="background2"/>
            <w:lang w:eastAsia="de-DE"/>
          </w:rPr>
          <w:fldChar w:fldCharType="begin"/>
        </w:r>
        <w:r w:rsidR="003D4A29" w:rsidRPr="008A16CD">
          <w:rPr>
            <w:bCs/>
            <w:color w:val="FFFEFE" w:themeColor="background2"/>
            <w:lang w:eastAsia="de-DE"/>
          </w:rPr>
          <w:instrText xml:space="preserve"> PAGE </w:instrText>
        </w:r>
        <w:r w:rsidR="003D4A29" w:rsidRPr="008A16CD">
          <w:rPr>
            <w:bCs/>
            <w:color w:val="FFFEFE" w:themeColor="background2"/>
            <w:lang w:eastAsia="de-DE"/>
          </w:rPr>
          <w:fldChar w:fldCharType="separate"/>
        </w:r>
        <w:r w:rsidR="003D4A29" w:rsidRPr="008A16CD">
          <w:rPr>
            <w:bCs/>
            <w:color w:val="FFFEFE" w:themeColor="background2"/>
            <w:lang w:eastAsia="de-DE"/>
          </w:rPr>
          <w:t>3</w:t>
        </w:r>
        <w:r w:rsidR="003D4A29" w:rsidRPr="008A16CD">
          <w:rPr>
            <w:bCs/>
            <w:color w:val="FFFEFE" w:themeColor="background2"/>
            <w:lang w:eastAsia="de-DE"/>
          </w:rPr>
          <w:fldChar w:fldCharType="end"/>
        </w:r>
        <w:r w:rsidR="003D4A29" w:rsidRPr="008A16CD">
          <w:rPr>
            <w:color w:val="FFFEFE" w:themeColor="background2"/>
            <w:lang w:eastAsia="de-DE"/>
          </w:rPr>
          <w:t xml:space="preserve"> of </w:t>
        </w:r>
        <w:r w:rsidR="003D4A29" w:rsidRPr="008A16CD">
          <w:rPr>
            <w:bCs/>
            <w:color w:val="FFFEFE" w:themeColor="background2"/>
            <w:lang w:eastAsia="de-DE"/>
          </w:rPr>
          <w:fldChar w:fldCharType="begin"/>
        </w:r>
        <w:r w:rsidR="003D4A29" w:rsidRPr="008A16CD">
          <w:rPr>
            <w:bCs/>
            <w:color w:val="FFFEFE" w:themeColor="background2"/>
            <w:lang w:eastAsia="de-DE"/>
          </w:rPr>
          <w:instrText xml:space="preserve"> NUMPAGES  </w:instrText>
        </w:r>
        <w:r w:rsidR="003D4A29" w:rsidRPr="008A16CD">
          <w:rPr>
            <w:bCs/>
            <w:color w:val="FFFEFE" w:themeColor="background2"/>
            <w:lang w:eastAsia="de-DE"/>
          </w:rPr>
          <w:fldChar w:fldCharType="separate"/>
        </w:r>
        <w:r w:rsidR="003D4A29" w:rsidRPr="008A16CD">
          <w:rPr>
            <w:bCs/>
            <w:color w:val="FFFEFE" w:themeColor="background2"/>
            <w:lang w:eastAsia="de-DE"/>
          </w:rPr>
          <w:t>5</w:t>
        </w:r>
        <w:r w:rsidR="003D4A29" w:rsidRPr="008A16CD">
          <w:rPr>
            <w:bCs/>
            <w:color w:val="FFFEFE" w:themeColor="background2"/>
            <w:lang w:eastAsia="de-DE"/>
          </w:rPr>
          <w:fldChar w:fldCharType="end"/>
        </w:r>
      </w:p>
    </w:sdtContent>
  </w:sdt>
  <w:p w14:paraId="40070DF0" w14:textId="77777777" w:rsidR="00AD4446" w:rsidRDefault="00AD4446" w:rsidP="00EE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8D81" w14:textId="74931E59" w:rsidR="00E64C59" w:rsidRDefault="00EE118B" w:rsidP="00EE118B">
    <w:pPr>
      <w:pStyle w:val="Footer"/>
    </w:pPr>
    <w:r w:rsidRPr="005B7A59">
      <w:rPr>
        <w:noProof/>
      </w:rPr>
      <mc:AlternateContent>
        <mc:Choice Requires="wps">
          <w:drawing>
            <wp:anchor distT="0" distB="0" distL="114300" distR="114300" simplePos="0" relativeHeight="251672576" behindDoc="0" locked="0" layoutInCell="1" allowOverlap="1" wp14:anchorId="3375EE05" wp14:editId="3AE510D6">
              <wp:simplePos x="0" y="0"/>
              <wp:positionH relativeFrom="column">
                <wp:posOffset>-431800</wp:posOffset>
              </wp:positionH>
              <wp:positionV relativeFrom="page">
                <wp:posOffset>10141527</wp:posOffset>
              </wp:positionV>
              <wp:extent cx="7560000" cy="540000"/>
              <wp:effectExtent l="0" t="0" r="0" b="6350"/>
              <wp:wrapNone/>
              <wp:docPr id="937789184"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5B6C" id="Rectangle 7" o:spid="_x0000_s1026" style="position:absolute;margin-left:-34pt;margin-top:798.55pt;width:595.3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" fillcolor="#778a53 [3206]" stroked="f" strokeweight="1pt">
              <w10:wrap anchory="page"/>
            </v:rect>
          </w:pict>
        </mc:Fallback>
      </mc:AlternateContent>
    </w:r>
    <w:r w:rsidR="00737647">
      <w:rPr>
        <w:noProof/>
      </w:rPr>
      <mc:AlternateContent>
        <mc:Choice Requires="wps">
          <w:drawing>
            <wp:anchor distT="0" distB="0" distL="114300" distR="114300" simplePos="0" relativeHeight="251668480" behindDoc="1" locked="0" layoutInCell="1" allowOverlap="1" wp14:anchorId="7D6DF216" wp14:editId="2DAE590B">
              <wp:simplePos x="0" y="0"/>
              <wp:positionH relativeFrom="column">
                <wp:posOffset>-504190</wp:posOffset>
              </wp:positionH>
              <wp:positionV relativeFrom="page">
                <wp:posOffset>10141527</wp:posOffset>
              </wp:positionV>
              <wp:extent cx="7560000" cy="540000"/>
              <wp:effectExtent l="0" t="0" r="0" b="6350"/>
              <wp:wrapNone/>
              <wp:docPr id="362333988"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E51E0" id="Rectangle 7" o:spid="_x0000_s1026" style="position:absolute;margin-left:-39.7pt;margin-top:798.55pt;width:595.3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" fillcolor="#74a7a4 [3215]" stroked="f" strokeweight="1pt">
              <w10:wrap anchory="page"/>
            </v:rect>
          </w:pict>
        </mc:Fallback>
      </mc:AlternateContent>
    </w:r>
    <w:r w:rsidR="00E64C59">
      <w:tab/>
    </w:r>
    <w:r w:rsidR="00E64C59">
      <w:tab/>
    </w:r>
    <w:r w:rsidR="00E64C59" w:rsidRPr="00B057E3">
      <w:t>Version 0.</w:t>
    </w:r>
    <w:r w:rsidR="001F7340">
      <w:t>0</w:t>
    </w:r>
    <w:r w:rsidR="00E64C59" w:rsidRPr="00B057E3">
      <w:t xml:space="preserve"> as at 00/00/0000</w:t>
    </w:r>
  </w:p>
  <w:p w14:paraId="4E4C563E" w14:textId="77777777" w:rsidR="00E64C59" w:rsidRDefault="00E64C59" w:rsidP="00EE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A6F7F" w14:textId="77777777" w:rsidR="00F414A8" w:rsidRDefault="00F414A8" w:rsidP="00EE118B">
      <w:r>
        <w:separator/>
      </w:r>
    </w:p>
    <w:p w14:paraId="6074228B" w14:textId="77777777" w:rsidR="00F414A8" w:rsidRDefault="00F414A8" w:rsidP="00EE118B"/>
  </w:footnote>
  <w:footnote w:type="continuationSeparator" w:id="0">
    <w:p w14:paraId="4D0AF60F" w14:textId="77777777" w:rsidR="00F414A8" w:rsidRDefault="00F414A8" w:rsidP="00EE118B">
      <w:r>
        <w:continuationSeparator/>
      </w:r>
    </w:p>
    <w:p w14:paraId="388E829A" w14:textId="77777777" w:rsidR="00F414A8" w:rsidRDefault="00F414A8"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042022FD" w:rsidR="00AD4446" w:rsidRDefault="00010234" w:rsidP="00FB107C">
    <w:pPr>
      <w:pStyle w:val="Header"/>
    </w:pPr>
    <w:r>
      <w:t>HOUSING SERVICES</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08A97237" w:rsidR="00C370BE" w:rsidRPr="00EB089E" w:rsidRDefault="008E2369" w:rsidP="00EE118B">
    <w:pPr>
      <w:pStyle w:val="Header"/>
    </w:pPr>
    <w:r w:rsidRPr="0021184F">
      <w:rPr>
        <w:color w:val="FFFEFE" w:themeColor="background2"/>
      </w:rPr>
      <w:drawing>
        <wp:anchor distT="0" distB="0" distL="114300" distR="114300" simplePos="0" relativeHeight="251669504" behindDoc="0" locked="0" layoutInCell="1" allowOverlap="1" wp14:anchorId="7486509A" wp14:editId="52CE777B">
          <wp:simplePos x="0" y="0"/>
          <wp:positionH relativeFrom="column">
            <wp:posOffset>5026025</wp:posOffset>
          </wp:positionH>
          <wp:positionV relativeFrom="paragraph">
            <wp:posOffset>-176530</wp:posOffset>
          </wp:positionV>
          <wp:extent cx="1425600" cy="8928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B" w:rsidRPr="0021184F">
      <w:rPr>
        <w:color w:val="FFFEFE" w:themeColor="background2"/>
      </w:rPr>
      <w:drawing>
        <wp:anchor distT="0" distB="0" distL="114300" distR="114300" simplePos="0" relativeHeight="251652096" behindDoc="0" locked="0" layoutInCell="1" allowOverlap="1" wp14:anchorId="4975360A" wp14:editId="224A111F">
          <wp:simplePos x="0" y="0"/>
          <wp:positionH relativeFrom="column">
            <wp:posOffset>-430299</wp:posOffset>
          </wp:positionH>
          <wp:positionV relativeFrom="page">
            <wp:posOffset>1011555</wp:posOffset>
          </wp:positionV>
          <wp:extent cx="7560000" cy="10684800"/>
          <wp:effectExtent l="0" t="0" r="0" b="0"/>
          <wp:wrapNone/>
          <wp:docPr id="1805484868"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EE118B" w:rsidRPr="0021184F">
      <w:rPr>
        <w:color w:val="FFFEFE" w:themeColor="background2"/>
      </w:rPr>
      <mc:AlternateContent>
        <mc:Choice Requires="wps">
          <w:drawing>
            <wp:anchor distT="0" distB="0" distL="114300" distR="114300" simplePos="0" relativeHeight="251648000" behindDoc="1" locked="0" layoutInCell="1" allowOverlap="1" wp14:anchorId="37EFAE97" wp14:editId="7E1946A8">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19641C" w14:textId="3B4EF973" w:rsidR="00EB089E" w:rsidRPr="00C30525" w:rsidRDefault="00EB089E" w:rsidP="008A16CD">
                          <w:pPr>
                            <w:shd w:val="clear" w:color="auto" w:fill="778A53" w:themeFill="accent3"/>
                            <w:rPr>
                              <w:color w:val="D6B8BA"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margin-left:0;margin-top:0;width:595.3pt;height:845.3pt;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" fillcolor="#778a53 [3206]" stroked="f" strokeweight="1pt">
              <v:textbox>
                <w:txbxContent>
                  <w:p w14:paraId="4219641C" w14:textId="3B4EF973" w:rsidR="00EB089E" w:rsidRPr="00C30525" w:rsidRDefault="00EB089E" w:rsidP="008A16CD">
                    <w:pPr>
                      <w:shd w:val="clear" w:color="auto" w:fill="778A53" w:themeFill="accent3"/>
                      <w:rPr>
                        <w:color w:val="D6B8BA" w:themeColor="accent5"/>
                      </w:rPr>
                    </w:pPr>
                  </w:p>
                </w:txbxContent>
              </v:textbox>
              <w10:wrap anchorx="page" anchory="page"/>
            </v:rect>
          </w:pict>
        </mc:Fallback>
      </mc:AlternateContent>
    </w:r>
    <w:r w:rsidR="0021184F" w:rsidRPr="0021184F">
      <w:rPr>
        <w:color w:val="FFFEFE" w:themeColor="background2"/>
      </w:rPr>
      <w:t>HOUSING SERVICES</w:t>
    </w:r>
    <w:r w:rsidR="00EB089E" w:rsidRPr="0021184F">
      <w:t xml:space="preserve"> </w:t>
    </w:r>
    <w:r w:rsidR="00EB089E" w:rsidRPr="0021184F">
      <w:rPr>
        <w:color w:val="FFFEFE" w:themeColor="background2"/>
      </w:rPr>
      <w:t>INFORMATION</w:t>
    </w:r>
    <w:r w:rsidR="00EB089E" w:rsidRPr="00E269A8">
      <w:rPr>
        <w:color w:val="FFFEFE" w:themeColor="background2"/>
      </w:rPr>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269D0CD9"/>
    <w:multiLevelType w:val="hybridMultilevel"/>
    <w:tmpl w:val="946EE800"/>
    <w:lvl w:ilvl="0" w:tplc="E8520F72">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3"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11F5261"/>
    <w:multiLevelType w:val="hybridMultilevel"/>
    <w:tmpl w:val="C47C8670"/>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3884D03"/>
    <w:multiLevelType w:val="hybridMultilevel"/>
    <w:tmpl w:val="A13E6348"/>
    <w:lvl w:ilvl="0" w:tplc="51CC7296">
      <w:start w:val="1"/>
      <w:numFmt w:val="bullet"/>
      <w:pStyle w:val="ListParagraph"/>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0"/>
  </w:num>
  <w:num w:numId="4">
    <w:abstractNumId w:val="3"/>
    <w:lvlOverride w:ilvl="0">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4"/>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10234"/>
    <w:rsid w:val="00050DF8"/>
    <w:rsid w:val="000607BD"/>
    <w:rsid w:val="000C19EE"/>
    <w:rsid w:val="000E5ED5"/>
    <w:rsid w:val="000E6B57"/>
    <w:rsid w:val="000E7EB0"/>
    <w:rsid w:val="001037AB"/>
    <w:rsid w:val="00142F67"/>
    <w:rsid w:val="00191FAA"/>
    <w:rsid w:val="00193744"/>
    <w:rsid w:val="001B4DF5"/>
    <w:rsid w:val="001D6B4D"/>
    <w:rsid w:val="001F7340"/>
    <w:rsid w:val="00203BAE"/>
    <w:rsid w:val="0021114C"/>
    <w:rsid w:val="0021184F"/>
    <w:rsid w:val="0022789C"/>
    <w:rsid w:val="00283D5D"/>
    <w:rsid w:val="002D7022"/>
    <w:rsid w:val="003246E7"/>
    <w:rsid w:val="003328D0"/>
    <w:rsid w:val="00335A76"/>
    <w:rsid w:val="00371142"/>
    <w:rsid w:val="00374355"/>
    <w:rsid w:val="00380AF6"/>
    <w:rsid w:val="00395BAA"/>
    <w:rsid w:val="003A75B4"/>
    <w:rsid w:val="003B041E"/>
    <w:rsid w:val="003D2D19"/>
    <w:rsid w:val="003D4A29"/>
    <w:rsid w:val="003F095D"/>
    <w:rsid w:val="004010BF"/>
    <w:rsid w:val="00401EB3"/>
    <w:rsid w:val="00405123"/>
    <w:rsid w:val="00427BAD"/>
    <w:rsid w:val="0044507C"/>
    <w:rsid w:val="00480369"/>
    <w:rsid w:val="00491C0C"/>
    <w:rsid w:val="004C3C7C"/>
    <w:rsid w:val="004E1C03"/>
    <w:rsid w:val="004E2F3A"/>
    <w:rsid w:val="004F3255"/>
    <w:rsid w:val="0051078B"/>
    <w:rsid w:val="00513B7E"/>
    <w:rsid w:val="0052062E"/>
    <w:rsid w:val="00555F89"/>
    <w:rsid w:val="00557936"/>
    <w:rsid w:val="00576D94"/>
    <w:rsid w:val="00581BFE"/>
    <w:rsid w:val="005B7A59"/>
    <w:rsid w:val="005E2F6E"/>
    <w:rsid w:val="005E70B5"/>
    <w:rsid w:val="00617962"/>
    <w:rsid w:val="00655AE3"/>
    <w:rsid w:val="00662E35"/>
    <w:rsid w:val="00671CA6"/>
    <w:rsid w:val="00692BFB"/>
    <w:rsid w:val="006B4DC5"/>
    <w:rsid w:val="00711694"/>
    <w:rsid w:val="007124C3"/>
    <w:rsid w:val="00737647"/>
    <w:rsid w:val="00761417"/>
    <w:rsid w:val="007B047C"/>
    <w:rsid w:val="007B6C5F"/>
    <w:rsid w:val="008416A1"/>
    <w:rsid w:val="008670E2"/>
    <w:rsid w:val="008A16CD"/>
    <w:rsid w:val="008C0007"/>
    <w:rsid w:val="008C5579"/>
    <w:rsid w:val="008E2369"/>
    <w:rsid w:val="008E3840"/>
    <w:rsid w:val="008E386F"/>
    <w:rsid w:val="008E3962"/>
    <w:rsid w:val="00901FEC"/>
    <w:rsid w:val="00921995"/>
    <w:rsid w:val="00927196"/>
    <w:rsid w:val="00937852"/>
    <w:rsid w:val="00942922"/>
    <w:rsid w:val="00952E95"/>
    <w:rsid w:val="00A32C42"/>
    <w:rsid w:val="00A63816"/>
    <w:rsid w:val="00A84ED7"/>
    <w:rsid w:val="00A9391E"/>
    <w:rsid w:val="00A94B2D"/>
    <w:rsid w:val="00A95320"/>
    <w:rsid w:val="00AA0A46"/>
    <w:rsid w:val="00AA691F"/>
    <w:rsid w:val="00AB7A18"/>
    <w:rsid w:val="00AD4446"/>
    <w:rsid w:val="00AD46A4"/>
    <w:rsid w:val="00B671B2"/>
    <w:rsid w:val="00B7041B"/>
    <w:rsid w:val="00BC0608"/>
    <w:rsid w:val="00BC301E"/>
    <w:rsid w:val="00C07805"/>
    <w:rsid w:val="00C1040F"/>
    <w:rsid w:val="00C115E7"/>
    <w:rsid w:val="00C22D24"/>
    <w:rsid w:val="00C30525"/>
    <w:rsid w:val="00C370BE"/>
    <w:rsid w:val="00C80F97"/>
    <w:rsid w:val="00C92365"/>
    <w:rsid w:val="00CA06CA"/>
    <w:rsid w:val="00CB6F0C"/>
    <w:rsid w:val="00CC06C3"/>
    <w:rsid w:val="00CC22FC"/>
    <w:rsid w:val="00CD3F1D"/>
    <w:rsid w:val="00D10239"/>
    <w:rsid w:val="00D2710E"/>
    <w:rsid w:val="00D50387"/>
    <w:rsid w:val="00D51201"/>
    <w:rsid w:val="00D80A77"/>
    <w:rsid w:val="00DB3E0B"/>
    <w:rsid w:val="00DB5FC0"/>
    <w:rsid w:val="00DE628F"/>
    <w:rsid w:val="00E2053F"/>
    <w:rsid w:val="00E269A8"/>
    <w:rsid w:val="00E32A75"/>
    <w:rsid w:val="00E375DD"/>
    <w:rsid w:val="00E63CCF"/>
    <w:rsid w:val="00E64C59"/>
    <w:rsid w:val="00E876AA"/>
    <w:rsid w:val="00EB089E"/>
    <w:rsid w:val="00EB7891"/>
    <w:rsid w:val="00EC05A7"/>
    <w:rsid w:val="00ED0525"/>
    <w:rsid w:val="00EE118B"/>
    <w:rsid w:val="00EE210E"/>
    <w:rsid w:val="00F262B4"/>
    <w:rsid w:val="00F35627"/>
    <w:rsid w:val="00F3638A"/>
    <w:rsid w:val="00F41340"/>
    <w:rsid w:val="00F414A8"/>
    <w:rsid w:val="00F46925"/>
    <w:rsid w:val="00F66CBB"/>
    <w:rsid w:val="00F92523"/>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18B"/>
    <w:pPr>
      <w:spacing w:after="120" w:line="240" w:lineRule="auto"/>
    </w:pPr>
    <w:rPr>
      <w:rFonts w:asciiTheme="minorHAnsi" w:hAnsiTheme="minorHAnsi"/>
      <w:sz w:val="20"/>
      <w:szCs w:val="20"/>
      <w:lang w:val="en-GB"/>
    </w:rPr>
  </w:style>
  <w:style w:type="paragraph" w:styleId="Heading1">
    <w:name w:val="heading 1"/>
    <w:next w:val="Normal"/>
    <w:link w:val="Heading1Char"/>
    <w:uiPriority w:val="9"/>
    <w:qFormat/>
    <w:rsid w:val="00E375DD"/>
    <w:pPr>
      <w:keepNext/>
      <w:keepLines/>
      <w:spacing w:before="240" w:after="360" w:line="240" w:lineRule="auto"/>
      <w:outlineLvl w:val="0"/>
    </w:pPr>
    <w:rPr>
      <w:rFonts w:asciiTheme="minorHAnsi" w:eastAsiaTheme="majorEastAsia" w:hAnsiTheme="minorHAnsi" w:cstheme="majorBidi"/>
      <w:b/>
      <w:bCs/>
      <w:color w:val="74A7A4" w:themeColor="text2"/>
      <w:sz w:val="48"/>
      <w:szCs w:val="48"/>
    </w:rPr>
  </w:style>
  <w:style w:type="paragraph" w:styleId="Heading2">
    <w:name w:val="heading 2"/>
    <w:basedOn w:val="Normal"/>
    <w:next w:val="Normal"/>
    <w:link w:val="Heading2Char"/>
    <w:uiPriority w:val="9"/>
    <w:unhideWhenUsed/>
    <w:qFormat/>
    <w:rsid w:val="001B4DF5"/>
    <w:pPr>
      <w:keepNext/>
      <w:keepLines/>
      <w:spacing w:before="2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E375DD"/>
    <w:pPr>
      <w:spacing w:after="0" w:line="240" w:lineRule="auto"/>
    </w:pPr>
    <w:rPr>
      <w:rFonts w:asciiTheme="minorHAnsi" w:eastAsia="Times New Roman" w:hAnsiTheme="minorHAnsi"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next w:val="StepPara"/>
    <w:qFormat/>
    <w:rsid w:val="00FF0FAC"/>
    <w:pPr>
      <w:numPr>
        <w:numId w:val="5"/>
      </w:numPr>
      <w:tabs>
        <w:tab w:val="clear" w:pos="644"/>
        <w:tab w:val="num" w:pos="426"/>
      </w:tabs>
      <w:spacing w:before="60"/>
      <w:ind w:left="426" w:hanging="426"/>
    </w:pPr>
  </w:style>
  <w:style w:type="character" w:customStyle="1" w:styleId="Heading1Char">
    <w:name w:val="Heading 1 Char"/>
    <w:basedOn w:val="DefaultParagraphFont"/>
    <w:link w:val="Heading1"/>
    <w:uiPriority w:val="9"/>
    <w:rsid w:val="00E375DD"/>
    <w:rPr>
      <w:rFonts w:asciiTheme="minorHAnsi" w:eastAsiaTheme="majorEastAsia" w:hAnsiTheme="minorHAnsi" w:cstheme="majorBidi"/>
      <w:b/>
      <w:bCs/>
      <w:color w:val="74A7A4" w:themeColor="text2"/>
      <w:sz w:val="48"/>
      <w:szCs w:val="48"/>
    </w:rPr>
  </w:style>
  <w:style w:type="character" w:customStyle="1" w:styleId="Heading2Char">
    <w:name w:val="Heading 2 Char"/>
    <w:basedOn w:val="DefaultParagraphFont"/>
    <w:link w:val="Heading2"/>
    <w:uiPriority w:val="9"/>
    <w:rsid w:val="001B4DF5"/>
    <w:rPr>
      <w:rFonts w:asciiTheme="minorHAnsi" w:eastAsiaTheme="majorEastAsia" w:hAnsiTheme="minorHAnsi" w:cstheme="majorBidi"/>
      <w:sz w:val="32"/>
      <w:szCs w:val="26"/>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8A16CD"/>
    <w:rPr>
      <w:color w:val="505A41" w:themeColor="accent4"/>
    </w:rPr>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8A16CD"/>
    <w:rPr>
      <w:b/>
      <w:bCs/>
      <w:color w:val="505A41" w:themeColor="accent4"/>
      <w:sz w:val="24"/>
    </w:rPr>
  </w:style>
  <w:style w:type="paragraph" w:styleId="ListParagraph">
    <w:name w:val="List Paragraph"/>
    <w:basedOn w:val="Normal"/>
    <w:uiPriority w:val="34"/>
    <w:qFormat/>
    <w:rsid w:val="00EE118B"/>
    <w:pPr>
      <w:numPr>
        <w:numId w:val="21"/>
      </w:numPr>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a.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ta.qld.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Value>1393</Value>
      <Value>1394</Value>
      <Value>971</Value>
    </Related_x0020_Procedures1>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Info xmlns="http://schemas.microsoft.com/office/infopath/2007/PartnerControls">
          <TermName xmlns="http://schemas.microsoft.com/office/infopath/2007/PartnerControls">Lady Musgrave Trust Program</TermName>
          <TermId xmlns="http://schemas.microsoft.com/office/infopath/2007/PartnerControls">2569f951-8e36-4552-b177-879eb4916980</TermId>
        </TermInfo>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Commencing Tenancies</TermName>
          <TermId xmlns="http://schemas.microsoft.com/office/infopath/2007/PartnerControls">7afd2083-7499-40fd-9aae-f11d5cd2e79e</TermId>
        </TermInfo>
        <TermInfo xmlns="http://schemas.microsoft.com/office/infopath/2007/PartnerControls">
          <TermName xmlns="http://schemas.microsoft.com/office/infopath/2007/PartnerControls">Ongoing Eligibility</TermName>
          <TermId xmlns="http://schemas.microsoft.com/office/infopath/2007/PartnerControls">8f3b9788-ec2c-4741-9c23-b1fba429cc98</TermId>
        </TermInfo>
        <TermInfo xmlns="http://schemas.microsoft.com/office/infopath/2007/PartnerControls">
          <TermName xmlns="http://schemas.microsoft.com/office/infopath/2007/PartnerControls">Ending Tenancies</TermName>
          <TermId xmlns="http://schemas.microsoft.com/office/infopath/2007/PartnerControls">097e750f-3ffd-4a13-b625-89c686a27190</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Y7MZVDFUXU5F-2019200120-9420</_dlc_DocId>
    <TaxCatchAll xmlns="44a7cf9d-e1d3-4cde-832a-95b73fc4b484">
      <Value>2088</Value>
      <Value>1151</Value>
      <Value>2105</Value>
      <Value>1146</Value>
      <Value>1791</Value>
      <Value>1790</Value>
      <Value>1651</Value>
      <Value>2109</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2.1</Document_x0020_Version>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2024-06-19T00:00:00+00:00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https://stafflink.cofcqld.com.au/sites/docs/_layouts/15/DocIdRedir.aspx?ID=Y7MZVDFUXU5F-2019200120-9420</Url>
      <Description>Y7MZVDFUXU5F-2019200120-9420</Description>
    </_dlc_DocIdUrl>
    <Document_x0020_Type xmlns="44a7cf9d-e1d3-4cde-832a-95b73fc4b484">Information Sheet</Document_x0020_Type>
    <UnlockDoc xmlns="44a7cf9d-e1d3-4cde-832a-95b73fc4b484">false</UnlockDoc>
    <_dlc_DocIdPersistId xmlns="44a7cf9d-e1d3-4cde-832a-95b73fc4b484" xsi:nil="true"/>
    <FieldName_BB56E94D_36BB_42AB_BB3E_2CADD83BC4D4_ xmlns="44a7cf9d-e1d3-4cde-832a-95b73fc4b4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2.xml><?xml version="1.0" encoding="utf-8"?>
<ds:datastoreItem xmlns:ds="http://schemas.openxmlformats.org/officeDocument/2006/customXml" ds:itemID="{D8EA0D99-2FC9-4A94-9995-184FA33C7B4F}"/>
</file>

<file path=customXml/itemProps3.xml><?xml version="1.0" encoding="utf-8"?>
<ds:datastoreItem xmlns:ds="http://schemas.openxmlformats.org/officeDocument/2006/customXml" ds:itemID="{69943E54-E1E0-4BDF-8726-841D4527A1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a7cf9d-e1d3-4cde-832a-95b73fc4b484"/>
    <ds:schemaRef ds:uri="http://www.w3.org/XML/1998/namespace"/>
    <ds:schemaRef ds:uri="http://purl.org/dc/dcmitype/"/>
  </ds:schemaRefs>
</ds:datastoreItem>
</file>

<file path=customXml/itemProps4.xml><?xml version="1.0" encoding="utf-8"?>
<ds:datastoreItem xmlns:ds="http://schemas.openxmlformats.org/officeDocument/2006/customXml" ds:itemID="{24F05965-31B1-46FC-982B-10A456F38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Information Sheet - Light Green - External - HS</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Bonds Information Sheet - HS</dc:title>
  <dc:subject/>
  <dc:creator>Microsoft Office User</dc:creator>
  <cp:keywords/>
  <dc:description/>
  <cp:lastModifiedBy>Damian McComb</cp:lastModifiedBy>
  <cp:revision>2</cp:revision>
  <dcterms:created xsi:type="dcterms:W3CDTF">2024-06-19T01:14:00Z</dcterms:created>
  <dcterms:modified xsi:type="dcterms:W3CDTF">2024-06-19T01:14:00Z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0x010100EF2EF123E9FE0248B550AA805597174401022200BB9C91098FDCE74DA4A1E4A1827C5383</vt:lpwstr>
  </property>
  <property fmtid="{D5CDD505-2E9C-101B-9397-08002B2CF9AE}" pid="8" name="Sub System">
    <vt:lpwstr>1151;#Affordable Living Housing|5199db11-6be9-46ff-b957-c7acf6b3b85e;#1651;#Disability Housing Service|838a0776-c10d-40b2-86bd-69d6e09debee;#1790;#Lady Musgrave Trust Program|2569f951-8e36-4552-b177-879eb4916980;#1791;#Housing Programs|ebd50e35-4fff-45f4-988c-dc83f5ed9775</vt:lpwstr>
  </property>
  <property fmtid="{D5CDD505-2E9C-101B-9397-08002B2CF9AE}" pid="9" name="System Owner">
    <vt:lpwstr>1146;#Housing Services|6893d2ef-c52f-4f66-859f-bc526a7f39e0</vt:lpwstr>
  </property>
  <property fmtid="{D5CDD505-2E9C-101B-9397-08002B2CF9AE}" pid="10" name="_dlc_DocIdItemGuid">
    <vt:lpwstr>4de0b717-865b-42ae-86d2-cd285acc16a2</vt:lpwstr>
  </property>
  <property fmtid="{D5CDD505-2E9C-101B-9397-08002B2CF9AE}" pid="11" name="Process">
    <vt:lpwstr>2088;#Commencing Tenancies|7afd2083-7499-40fd-9aae-f11d5cd2e79e;#2109;#Ongoing Eligibility|8f3b9788-ec2c-4741-9c23-b1fba429cc98;#2105;#Ending Tenancies|097e750f-3ffd-4a13-b625-89c686a27190</vt:lpwstr>
  </property>
  <property fmtid="{D5CDD505-2E9C-101B-9397-08002B2CF9AE}" pid="13" name="Approval Area1">
    <vt:lpwstr/>
  </property>
  <property fmtid="{D5CDD505-2E9C-101B-9397-08002B2CF9AE}" pid="14" name="Service Area">
    <vt:lpwstr/>
  </property>
  <property fmtid="{D5CDD505-2E9C-101B-9397-08002B2CF9AE}" pid="15" name="SharedWithUsers">
    <vt:lpwstr>178;#Damian McComb;#142;#Dee Troy;#600;#Rebecca De Sousa;#350;#Karen Bozier;#850;#Elaine Garayeli</vt:lpwstr>
  </property>
  <property fmtid="{D5CDD505-2E9C-101B-9397-08002B2CF9AE}" pid="16" name="d82d0db5ae8f44e8bb1947c653304b41">
    <vt:lpwstr/>
  </property>
  <property fmtid="{D5CDD505-2E9C-101B-9397-08002B2CF9AE}" pid="17" name="Template Type">
    <vt:lpwstr>Information Sheet</vt:lpwstr>
  </property>
  <property fmtid="{D5CDD505-2E9C-101B-9397-08002B2CF9AE}" pid="18" name="e538eacd8ff24c26b07681822b9b3d0a">
    <vt:lpwstr>Housing Services|6893d2ef-c52f-4f66-859f-bc526a7f39e0</vt:lpwstr>
  </property>
</Properties>
</file>